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364B4">
      <w:pPr>
        <w:spacing w:line="23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364B4">
      <w:pPr>
        <w:spacing w:line="23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D364B4">
      <w:pPr>
        <w:spacing w:line="23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D364B4">
      <w:pPr>
        <w:spacing w:line="23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D364B4">
      <w:pPr>
        <w:spacing w:line="23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D364B4">
      <w:pPr>
        <w:spacing w:line="23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</w:t>
      </w:r>
      <w:r w:rsidR="005A2B23">
        <w:rPr>
          <w:rFonts w:ascii="Times New Roman" w:hAnsi="Times New Roman"/>
          <w:sz w:val="28"/>
          <w:szCs w:val="28"/>
        </w:rPr>
        <w:t>зидента Российской Федерации от </w:t>
      </w:r>
      <w:r w:rsidRPr="00E00F6B">
        <w:rPr>
          <w:rFonts w:ascii="Times New Roman" w:hAnsi="Times New Roman"/>
          <w:sz w:val="28"/>
          <w:szCs w:val="28"/>
        </w:rPr>
        <w:t xml:space="preserve">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D364B4" w:rsidRDefault="00176BF4" w:rsidP="00D364B4">
      <w:pPr>
        <w:spacing w:line="230" w:lineRule="auto"/>
        <w:jc w:val="left"/>
        <w:rPr>
          <w:rFonts w:ascii="Times New Roman" w:hAnsi="Times New Roman"/>
          <w:sz w:val="16"/>
          <w:szCs w:val="16"/>
        </w:rPr>
      </w:pPr>
    </w:p>
    <w:p w:rsidR="00835701" w:rsidRPr="00E00F6B" w:rsidRDefault="00980A5D" w:rsidP="00D364B4">
      <w:pPr>
        <w:pStyle w:val="aa"/>
        <w:numPr>
          <w:ilvl w:val="0"/>
          <w:numId w:val="9"/>
        </w:numPr>
        <w:tabs>
          <w:tab w:val="left" w:pos="426"/>
        </w:tabs>
        <w:spacing w:line="23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D364B4">
      <w:pPr>
        <w:pStyle w:val="aa"/>
        <w:spacing w:line="230" w:lineRule="auto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D364B4" w:rsidRDefault="00A84DA2" w:rsidP="00D364B4">
      <w:pPr>
        <w:spacing w:line="230" w:lineRule="auto"/>
        <w:jc w:val="center"/>
        <w:rPr>
          <w:rFonts w:ascii="Times New Roman" w:hAnsi="Times New Roman"/>
          <w:sz w:val="16"/>
          <w:szCs w:val="16"/>
        </w:rPr>
      </w:pPr>
    </w:p>
    <w:p w:rsidR="00FE6316" w:rsidRPr="002E3630" w:rsidRDefault="00980A5D" w:rsidP="00D364B4">
      <w:pPr>
        <w:tabs>
          <w:tab w:val="left" w:pos="567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D364B4">
      <w:pPr>
        <w:tabs>
          <w:tab w:val="left" w:pos="709"/>
        </w:tabs>
        <w:spacing w:line="23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D364B4">
      <w:pPr>
        <w:pStyle w:val="a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D364B4">
      <w:pPr>
        <w:pStyle w:val="a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D364B4">
      <w:pPr>
        <w:pStyle w:val="a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D364B4">
      <w:pPr>
        <w:pStyle w:val="ConsPlusNormal"/>
        <w:numPr>
          <w:ilvl w:val="0"/>
          <w:numId w:val="3"/>
        </w:numPr>
        <w:tabs>
          <w:tab w:val="left" w:pos="709"/>
        </w:tabs>
        <w:spacing w:line="230" w:lineRule="auto"/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D364B4">
      <w:pPr>
        <w:pStyle w:val="a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D364B4">
      <w:pPr>
        <w:pStyle w:val="a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D364B4">
      <w:pPr>
        <w:pStyle w:val="a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D364B4">
      <w:pPr>
        <w:pStyle w:val="a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D364B4">
      <w:pPr>
        <w:pStyle w:val="a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D364B4">
      <w:pPr>
        <w:pStyle w:val="a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D364B4">
      <w:pPr>
        <w:pStyle w:val="a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D364B4">
      <w:pPr>
        <w:pStyle w:val="a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D364B4">
      <w:pPr>
        <w:pStyle w:val="a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D364B4">
      <w:pPr>
        <w:pStyle w:val="a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D364B4">
      <w:pPr>
        <w:pStyle w:val="aa"/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D364B4">
      <w:pPr>
        <w:pStyle w:val="aa"/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D364B4">
      <w:pPr>
        <w:pStyle w:val="aa"/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D364B4">
      <w:pPr>
        <w:tabs>
          <w:tab w:val="left" w:pos="709"/>
        </w:tabs>
        <w:spacing w:line="23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D364B4">
      <w:pPr>
        <w:tabs>
          <w:tab w:val="left" w:pos="709"/>
        </w:tabs>
        <w:spacing w:line="23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D364B4">
      <w:pPr>
        <w:pStyle w:val="aa"/>
        <w:numPr>
          <w:ilvl w:val="0"/>
          <w:numId w:val="5"/>
        </w:numPr>
        <w:tabs>
          <w:tab w:val="left" w:pos="709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D364B4">
      <w:pPr>
        <w:pStyle w:val="aa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 xml:space="preserve">Центрального банка Российской Федерации, работники Пенсионного фонда Российской Федерации, Фонда </w:t>
      </w:r>
      <w:r w:rsidRPr="002E3630">
        <w:rPr>
          <w:rFonts w:ascii="Times New Roman" w:hAnsi="Times New Roman"/>
          <w:sz w:val="28"/>
          <w:szCs w:val="28"/>
        </w:rPr>
        <w:lastRenderedPageBreak/>
        <w:t>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D364B4">
      <w:pPr>
        <w:tabs>
          <w:tab w:val="left" w:pos="709"/>
        </w:tabs>
        <w:spacing w:line="23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D364B4">
      <w:pPr>
        <w:tabs>
          <w:tab w:val="left" w:pos="709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D364B4">
      <w:pPr>
        <w:tabs>
          <w:tab w:val="left" w:pos="709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D364B4">
      <w:pPr>
        <w:tabs>
          <w:tab w:val="left" w:pos="709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D364B4">
      <w:pPr>
        <w:tabs>
          <w:tab w:val="left" w:pos="709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D364B4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D364B4">
      <w:pPr>
        <w:pStyle w:val="aa"/>
        <w:tabs>
          <w:tab w:val="left" w:pos="567"/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D364B4">
      <w:pPr>
        <w:pStyle w:val="aa"/>
        <w:tabs>
          <w:tab w:val="left" w:pos="567"/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D364B4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D364B4">
      <w:pPr>
        <w:tabs>
          <w:tab w:val="left" w:pos="567"/>
          <w:tab w:val="left" w:pos="1276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D364B4">
      <w:pPr>
        <w:tabs>
          <w:tab w:val="left" w:pos="567"/>
          <w:tab w:val="left" w:pos="1276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D364B4">
      <w:pPr>
        <w:pStyle w:val="aa"/>
        <w:tabs>
          <w:tab w:val="left" w:pos="567"/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Pr="00D364B4" w:rsidRDefault="00576037" w:rsidP="00D364B4">
      <w:pPr>
        <w:tabs>
          <w:tab w:val="left" w:pos="567"/>
          <w:tab w:val="left" w:pos="1276"/>
        </w:tabs>
        <w:spacing w:line="230" w:lineRule="auto"/>
        <w:ind w:firstLine="567"/>
        <w:rPr>
          <w:rFonts w:ascii="Times New Roman" w:hAnsi="Times New Roman"/>
          <w:b/>
          <w:sz w:val="16"/>
          <w:szCs w:val="16"/>
        </w:rPr>
      </w:pPr>
    </w:p>
    <w:p w:rsidR="00D54078" w:rsidRPr="002E3630" w:rsidRDefault="00980A5D" w:rsidP="00D364B4">
      <w:pPr>
        <w:tabs>
          <w:tab w:val="left" w:pos="567"/>
          <w:tab w:val="left" w:pos="1276"/>
        </w:tabs>
        <w:spacing w:line="23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D364B4">
      <w:pPr>
        <w:pStyle w:val="aa"/>
        <w:numPr>
          <w:ilvl w:val="0"/>
          <w:numId w:val="7"/>
        </w:numPr>
        <w:tabs>
          <w:tab w:val="left" w:pos="567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D364B4">
      <w:pPr>
        <w:pStyle w:val="aa"/>
        <w:numPr>
          <w:ilvl w:val="0"/>
          <w:numId w:val="7"/>
        </w:numPr>
        <w:tabs>
          <w:tab w:val="left" w:pos="567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D364B4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D364B4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D364B4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D364B4">
      <w:pPr>
        <w:tabs>
          <w:tab w:val="left" w:pos="567"/>
        </w:tabs>
        <w:spacing w:line="23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D364B4">
      <w:pPr>
        <w:tabs>
          <w:tab w:val="left" w:pos="567"/>
        </w:tabs>
        <w:spacing w:line="23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D364B4">
      <w:pPr>
        <w:tabs>
          <w:tab w:val="left" w:pos="567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D364B4" w:rsidRDefault="00736BF9" w:rsidP="00D364B4">
      <w:pPr>
        <w:spacing w:line="230" w:lineRule="auto"/>
        <w:ind w:firstLine="851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804"/>
      </w:tblGrid>
      <w:tr w:rsidR="00664171" w:rsidRPr="00D364B4" w:rsidTr="00D364B4">
        <w:tc>
          <w:tcPr>
            <w:tcW w:w="10206" w:type="dxa"/>
            <w:gridSpan w:val="2"/>
            <w:shd w:val="clear" w:color="auto" w:fill="auto"/>
          </w:tcPr>
          <w:p w:rsidR="00FA7EE8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Пример: служащий (работник) представляет сведения в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году </w:t>
            </w:r>
            <w:r w:rsidR="0096761C" w:rsidRPr="00D364B4">
              <w:rPr>
                <w:rFonts w:ascii="Times New Roman" w:hAnsi="Times New Roman"/>
                <w:sz w:val="26"/>
                <w:szCs w:val="26"/>
              </w:rPr>
              <w:br/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(за отчетный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="00C96FEE" w:rsidRPr="00D36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г.)</w:t>
            </w:r>
          </w:p>
        </w:tc>
      </w:tr>
      <w:tr w:rsidR="00664171" w:rsidRPr="00D364B4" w:rsidTr="00D364B4">
        <w:tc>
          <w:tcPr>
            <w:tcW w:w="3402" w:type="dxa"/>
            <w:shd w:val="clear" w:color="auto" w:fill="auto"/>
          </w:tcPr>
          <w:p w:rsidR="00736BF9" w:rsidRPr="00D364B4" w:rsidRDefault="00980A5D" w:rsidP="00D364B4">
            <w:pPr>
              <w:spacing w:line="23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FA7EE8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="00C96FEE" w:rsidRPr="00D36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года) служащий (работник) состоял в браке</w:t>
            </w:r>
          </w:p>
        </w:tc>
      </w:tr>
      <w:tr w:rsidR="00664171" w:rsidRPr="00D364B4" w:rsidTr="00D364B4">
        <w:tc>
          <w:tcPr>
            <w:tcW w:w="3402" w:type="dxa"/>
            <w:shd w:val="clear" w:color="auto" w:fill="auto"/>
          </w:tcPr>
          <w:p w:rsidR="00FA7EE8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Брак заключен в ЗАГСе в марте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FA7EE8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года) служащий (работник) не состоял в браке </w:t>
            </w:r>
          </w:p>
        </w:tc>
      </w:tr>
      <w:tr w:rsidR="007215ED" w:rsidRPr="00D364B4" w:rsidTr="00D364B4">
        <w:tc>
          <w:tcPr>
            <w:tcW w:w="10206" w:type="dxa"/>
            <w:gridSpan w:val="2"/>
            <w:shd w:val="clear" w:color="auto" w:fill="auto"/>
          </w:tcPr>
          <w:p w:rsidR="00736BF9" w:rsidRPr="00D364B4" w:rsidRDefault="00980A5D" w:rsidP="00D364B4">
            <w:pPr>
              <w:spacing w:line="23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Пример: гражданин в сентябре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 года представляет сведения в связи с подачей документов для назначени</w:t>
            </w:r>
            <w:r w:rsidR="00734380" w:rsidRPr="00D364B4">
              <w:rPr>
                <w:rFonts w:ascii="Times New Roman" w:hAnsi="Times New Roman"/>
                <w:sz w:val="26"/>
                <w:szCs w:val="26"/>
              </w:rPr>
              <w:t>я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на должность. Отчетной датой является 1 августа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8C0CA9" w:rsidRPr="00D364B4" w:rsidTr="00D364B4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D364B4" w:rsidRDefault="00980A5D" w:rsidP="00D364B4">
            <w:pPr>
              <w:spacing w:line="23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Брак заключен 1 февраля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8C0CA9" w:rsidRPr="00D364B4" w:rsidRDefault="00980A5D" w:rsidP="00D364B4">
            <w:pPr>
              <w:spacing w:line="23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года) гражданин состоял в браке</w:t>
            </w:r>
          </w:p>
        </w:tc>
      </w:tr>
      <w:tr w:rsidR="008C0CA9" w:rsidRPr="00D364B4" w:rsidTr="00D364B4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D364B4" w:rsidRDefault="00980A5D" w:rsidP="00D364B4">
            <w:pPr>
              <w:spacing w:line="23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Брак заключен 2 августа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8C0CA9" w:rsidRPr="00D364B4" w:rsidRDefault="00734380" w:rsidP="00D364B4">
            <w:pPr>
              <w:spacing w:line="23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>с</w:t>
            </w:r>
            <w:r w:rsidR="00980A5D" w:rsidRPr="00D364B4">
              <w:rPr>
                <w:rFonts w:ascii="Times New Roman" w:hAnsi="Times New Roman"/>
                <w:sz w:val="26"/>
                <w:szCs w:val="26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="00980A5D" w:rsidRPr="00D364B4">
              <w:rPr>
                <w:rFonts w:ascii="Times New Roman" w:hAnsi="Times New Roman"/>
                <w:sz w:val="26"/>
                <w:szCs w:val="26"/>
              </w:rPr>
              <w:t xml:space="preserve"> года) гражданин еще не вступил в брак</w:t>
            </w:r>
          </w:p>
        </w:tc>
      </w:tr>
    </w:tbl>
    <w:p w:rsidR="00736BF9" w:rsidRPr="00D364B4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16"/>
          <w:szCs w:val="16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D364B4" w:rsidRDefault="00305AAA" w:rsidP="009D662F">
      <w:pPr>
        <w:ind w:firstLine="851"/>
        <w:rPr>
          <w:rFonts w:ascii="Times New Roman" w:hAnsi="Times New Roman"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804"/>
      </w:tblGrid>
      <w:tr w:rsidR="007215ED" w:rsidRPr="00D364B4" w:rsidTr="00D364B4">
        <w:trPr>
          <w:trHeight w:val="435"/>
        </w:trPr>
        <w:tc>
          <w:tcPr>
            <w:tcW w:w="10206" w:type="dxa"/>
            <w:gridSpan w:val="2"/>
          </w:tcPr>
          <w:p w:rsidR="007215ED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Пример: служащий (работник) представляет сведения в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году (за отчетный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г.)</w:t>
            </w:r>
          </w:p>
        </w:tc>
      </w:tr>
      <w:tr w:rsidR="0028591F" w:rsidRPr="00D364B4" w:rsidTr="00D364B4">
        <w:trPr>
          <w:trHeight w:val="244"/>
        </w:trPr>
        <w:tc>
          <w:tcPr>
            <w:tcW w:w="3402" w:type="dxa"/>
          </w:tcPr>
          <w:p w:rsidR="0028591F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Брак был расторгнут в ЗАГСе в ноябре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</w:tc>
        <w:tc>
          <w:tcPr>
            <w:tcW w:w="6804" w:type="dxa"/>
          </w:tcPr>
          <w:p w:rsidR="00EC1CEF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года) служащий (работник) не состоял в браке</w:t>
            </w:r>
          </w:p>
        </w:tc>
      </w:tr>
      <w:tr w:rsidR="0028591F" w:rsidRPr="00D364B4" w:rsidTr="00D364B4">
        <w:trPr>
          <w:trHeight w:val="435"/>
        </w:trPr>
        <w:tc>
          <w:tcPr>
            <w:tcW w:w="3402" w:type="dxa"/>
          </w:tcPr>
          <w:p w:rsidR="0028591F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Окончательное решение о расторжении брака было принято судом 12 декабря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 года и вступило в законную силу 12 января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804" w:type="dxa"/>
          </w:tcPr>
          <w:p w:rsidR="00EC1CEF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 года. Таким образом, по состоянию на отчетную дату (31 декабря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 года) служащий (работник) считался состоявшим в браке</w:t>
            </w:r>
          </w:p>
        </w:tc>
      </w:tr>
      <w:tr w:rsidR="0028591F" w:rsidRPr="00D364B4" w:rsidTr="00D364B4">
        <w:trPr>
          <w:trHeight w:val="435"/>
        </w:trPr>
        <w:tc>
          <w:tcPr>
            <w:tcW w:w="3402" w:type="dxa"/>
          </w:tcPr>
          <w:p w:rsidR="0028591F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Брак был расторгнут в ЗАГСе в марте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6804" w:type="dxa"/>
          </w:tcPr>
          <w:p w:rsidR="00EC1CEF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>сведения в отношении бывшей супруги представляются</w:t>
            </w:r>
            <w:r w:rsidR="008B3253" w:rsidRPr="00D364B4">
              <w:rPr>
                <w:rFonts w:ascii="Times New Roman" w:hAnsi="Times New Roman"/>
                <w:sz w:val="26"/>
                <w:szCs w:val="26"/>
              </w:rPr>
              <w:t>,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поскольку по состоянию на отчетную дату (31 декабря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года) служащий (работник) состоял в браке</w:t>
            </w:r>
          </w:p>
        </w:tc>
      </w:tr>
      <w:tr w:rsidR="00D54078" w:rsidRPr="00D364B4" w:rsidTr="00D364B4">
        <w:trPr>
          <w:trHeight w:val="435"/>
        </w:trPr>
        <w:tc>
          <w:tcPr>
            <w:tcW w:w="10206" w:type="dxa"/>
            <w:gridSpan w:val="2"/>
          </w:tcPr>
          <w:p w:rsidR="00D54078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Пример: гражданин в сентябре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 года представляет сведения в связи с подачей документов для назначени</w:t>
            </w:r>
            <w:r w:rsidR="0096761C" w:rsidRPr="00D364B4">
              <w:rPr>
                <w:rFonts w:ascii="Times New Roman" w:hAnsi="Times New Roman"/>
                <w:sz w:val="26"/>
                <w:szCs w:val="26"/>
              </w:rPr>
              <w:t>я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на должность. Отчетной датой является 1 августа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F863CA" w:rsidRPr="00D364B4" w:rsidTr="00D364B4">
        <w:trPr>
          <w:trHeight w:val="435"/>
        </w:trPr>
        <w:tc>
          <w:tcPr>
            <w:tcW w:w="3402" w:type="dxa"/>
          </w:tcPr>
          <w:p w:rsidR="00F863CA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Брак был расторгнут в ЗАГСе 1 июля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804" w:type="dxa"/>
          </w:tcPr>
          <w:p w:rsidR="00EC1CEF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 года) гражданин не состоял в браке</w:t>
            </w:r>
          </w:p>
        </w:tc>
      </w:tr>
      <w:tr w:rsidR="00F863CA" w:rsidRPr="00D364B4" w:rsidTr="00D364B4">
        <w:trPr>
          <w:trHeight w:val="435"/>
        </w:trPr>
        <w:tc>
          <w:tcPr>
            <w:tcW w:w="3402" w:type="dxa"/>
          </w:tcPr>
          <w:p w:rsidR="00F863CA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Брак был расторгнут в ЗАГСе 2 августа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6804" w:type="dxa"/>
          </w:tcPr>
          <w:p w:rsidR="00F863CA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 года) гражданин состоял в браке</w:t>
            </w:r>
          </w:p>
        </w:tc>
      </w:tr>
      <w:tr w:rsidR="00F863CA" w:rsidRPr="00D364B4" w:rsidTr="00D364B4">
        <w:trPr>
          <w:trHeight w:val="435"/>
        </w:trPr>
        <w:tc>
          <w:tcPr>
            <w:tcW w:w="3402" w:type="dxa"/>
          </w:tcPr>
          <w:p w:rsidR="00F863CA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>Окончательное решение о расторжении брака было принято судом 4 июля</w:t>
            </w:r>
            <w:r w:rsidR="00D709FC" w:rsidRPr="00D36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 года и вступило в законную силу 4 августа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6804" w:type="dxa"/>
          </w:tcPr>
          <w:p w:rsidR="00EC1CEF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 года. Таким образом, по состоянию на отчетную дату (1 августа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Pr="00D364B4" w:rsidRDefault="00576037" w:rsidP="00025686">
      <w:pPr>
        <w:ind w:firstLine="567"/>
        <w:rPr>
          <w:rFonts w:ascii="Times New Roman" w:hAnsi="Times New Roman"/>
          <w:sz w:val="8"/>
          <w:szCs w:val="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7229"/>
      </w:tblGrid>
      <w:tr w:rsidR="00D54078" w:rsidRPr="00D364B4" w:rsidTr="00D364B4">
        <w:trPr>
          <w:trHeight w:val="435"/>
        </w:trPr>
        <w:tc>
          <w:tcPr>
            <w:tcW w:w="10206" w:type="dxa"/>
            <w:gridSpan w:val="2"/>
          </w:tcPr>
          <w:p w:rsidR="00D54078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Пример: служащий (работник) представляет сведения в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году (за отчетный</w:t>
            </w:r>
            <w:r w:rsidR="00D709FC" w:rsidRPr="00D36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 г.)</w:t>
            </w:r>
          </w:p>
        </w:tc>
      </w:tr>
      <w:tr w:rsidR="00D3710C" w:rsidRPr="00D364B4" w:rsidTr="00D364B4">
        <w:trPr>
          <w:trHeight w:val="435"/>
        </w:trPr>
        <w:tc>
          <w:tcPr>
            <w:tcW w:w="2977" w:type="dxa"/>
          </w:tcPr>
          <w:p w:rsidR="00D3710C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>Дочери служащего (работника)</w:t>
            </w:r>
            <w:r w:rsidR="00D709FC" w:rsidRPr="00D36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21 мая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 года исполнилось 18 лет</w:t>
            </w:r>
          </w:p>
        </w:tc>
        <w:tc>
          <w:tcPr>
            <w:tcW w:w="7229" w:type="dxa"/>
          </w:tcPr>
          <w:p w:rsidR="00EC1CEF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D364B4" w:rsidTr="00D364B4">
        <w:trPr>
          <w:trHeight w:val="435"/>
        </w:trPr>
        <w:tc>
          <w:tcPr>
            <w:tcW w:w="2977" w:type="dxa"/>
          </w:tcPr>
          <w:p w:rsidR="00D3710C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Дочери служащего (работника) 30 декабря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 года исполнилось 18 лет</w:t>
            </w:r>
          </w:p>
        </w:tc>
        <w:tc>
          <w:tcPr>
            <w:tcW w:w="7229" w:type="dxa"/>
          </w:tcPr>
          <w:p w:rsidR="00EC1CEF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D364B4" w:rsidTr="00D364B4">
        <w:trPr>
          <w:trHeight w:val="435"/>
        </w:trPr>
        <w:tc>
          <w:tcPr>
            <w:tcW w:w="2977" w:type="dxa"/>
          </w:tcPr>
          <w:p w:rsidR="00D3710C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>Дочери служащего (работника)</w:t>
            </w:r>
            <w:r w:rsidR="00D709FC" w:rsidRPr="00D36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31 декабря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 года исполнилось 18 лет</w:t>
            </w:r>
          </w:p>
        </w:tc>
        <w:tc>
          <w:tcPr>
            <w:tcW w:w="7229" w:type="dxa"/>
          </w:tcPr>
          <w:p w:rsidR="00EC1CEF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2019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 года. Таким образом, по состоянию на отчетную дату (31 декабря </w:t>
            </w:r>
            <w:r w:rsidR="00E965C9" w:rsidRPr="00D364B4">
              <w:rPr>
                <w:rFonts w:ascii="Times New Roman" w:hAnsi="Times New Roman"/>
                <w:sz w:val="26"/>
                <w:szCs w:val="26"/>
              </w:rPr>
              <w:t>2018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 года) она еще являлась несовершеннолетней</w:t>
            </w:r>
          </w:p>
        </w:tc>
      </w:tr>
      <w:tr w:rsidR="00D54078" w:rsidRPr="00D364B4" w:rsidTr="00D364B4">
        <w:trPr>
          <w:trHeight w:val="435"/>
        </w:trPr>
        <w:tc>
          <w:tcPr>
            <w:tcW w:w="10206" w:type="dxa"/>
            <w:gridSpan w:val="2"/>
          </w:tcPr>
          <w:p w:rsidR="000032B2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Пример: гражданин представляет в сентябре </w:t>
            </w:r>
            <w:r w:rsidR="000D57F7" w:rsidRPr="00D364B4">
              <w:rPr>
                <w:rFonts w:ascii="Times New Roman" w:hAnsi="Times New Roman"/>
                <w:sz w:val="26"/>
                <w:szCs w:val="26"/>
              </w:rPr>
              <w:t>2019 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 w:rsidRPr="00D364B4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  <w:tr w:rsidR="00E5214C" w:rsidRPr="00D364B4" w:rsidTr="00D364B4">
        <w:trPr>
          <w:trHeight w:val="435"/>
        </w:trPr>
        <w:tc>
          <w:tcPr>
            <w:tcW w:w="2977" w:type="dxa"/>
          </w:tcPr>
          <w:p w:rsidR="000032B2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Сыну гражданина 5 мая </w:t>
            </w:r>
            <w:r w:rsidR="000D57F7" w:rsidRPr="00D364B4">
              <w:rPr>
                <w:rFonts w:ascii="Times New Roman" w:hAnsi="Times New Roman"/>
                <w:sz w:val="26"/>
                <w:szCs w:val="26"/>
              </w:rPr>
              <w:t>2019 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года исполнилось 18 лет</w:t>
            </w:r>
          </w:p>
        </w:tc>
        <w:tc>
          <w:tcPr>
            <w:tcW w:w="7229" w:type="dxa"/>
          </w:tcPr>
          <w:p w:rsidR="000032B2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 w:rsidRPr="00D364B4">
              <w:rPr>
                <w:rFonts w:ascii="Times New Roman" w:hAnsi="Times New Roman"/>
                <w:sz w:val="26"/>
                <w:szCs w:val="26"/>
              </w:rPr>
              <w:t>2019 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года) сыну гражданина уже исполнилось 18 лет</w:t>
            </w:r>
          </w:p>
        </w:tc>
      </w:tr>
      <w:tr w:rsidR="00E5214C" w:rsidRPr="00D364B4" w:rsidTr="00D364B4">
        <w:trPr>
          <w:trHeight w:val="435"/>
        </w:trPr>
        <w:tc>
          <w:tcPr>
            <w:tcW w:w="2977" w:type="dxa"/>
          </w:tcPr>
          <w:p w:rsidR="000032B2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Сыну гражданина 1 августа </w:t>
            </w:r>
            <w:r w:rsidR="000D57F7" w:rsidRPr="00D364B4">
              <w:rPr>
                <w:rFonts w:ascii="Times New Roman" w:hAnsi="Times New Roman"/>
                <w:sz w:val="26"/>
                <w:szCs w:val="26"/>
              </w:rPr>
              <w:t>2019 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года исполнилось 18 лет</w:t>
            </w:r>
          </w:p>
        </w:tc>
        <w:tc>
          <w:tcPr>
            <w:tcW w:w="7229" w:type="dxa"/>
          </w:tcPr>
          <w:p w:rsidR="000032B2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 w:rsidRPr="00D364B4">
              <w:rPr>
                <w:rFonts w:ascii="Times New Roman" w:hAnsi="Times New Roman"/>
                <w:sz w:val="26"/>
                <w:szCs w:val="26"/>
              </w:rPr>
              <w:lastRenderedPageBreak/>
              <w:t>2019 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года. Таким образом, по состоянию на отчетную дату (1 августа </w:t>
            </w:r>
            <w:r w:rsidR="000D57F7" w:rsidRPr="00D364B4">
              <w:rPr>
                <w:rFonts w:ascii="Times New Roman" w:hAnsi="Times New Roman"/>
                <w:sz w:val="26"/>
                <w:szCs w:val="26"/>
              </w:rPr>
              <w:t>2019 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года) он еще являлся несовершеннолетним</w:t>
            </w:r>
          </w:p>
        </w:tc>
      </w:tr>
      <w:tr w:rsidR="00E5214C" w:rsidRPr="00D364B4" w:rsidTr="00D364B4">
        <w:trPr>
          <w:trHeight w:val="435"/>
        </w:trPr>
        <w:tc>
          <w:tcPr>
            <w:tcW w:w="2977" w:type="dxa"/>
          </w:tcPr>
          <w:p w:rsidR="000032B2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Сыну гражданина 17 августа </w:t>
            </w:r>
            <w:r w:rsidR="000D57F7" w:rsidRPr="00D364B4">
              <w:rPr>
                <w:rFonts w:ascii="Times New Roman" w:hAnsi="Times New Roman"/>
                <w:sz w:val="26"/>
                <w:szCs w:val="26"/>
              </w:rPr>
              <w:t>2019 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года исполнилось 18 лет</w:t>
            </w:r>
          </w:p>
        </w:tc>
        <w:tc>
          <w:tcPr>
            <w:tcW w:w="7229" w:type="dxa"/>
          </w:tcPr>
          <w:p w:rsidR="000032B2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 w:rsidRPr="00D364B4">
              <w:rPr>
                <w:rFonts w:ascii="Times New Roman" w:hAnsi="Times New Roman"/>
                <w:sz w:val="26"/>
                <w:szCs w:val="26"/>
              </w:rPr>
              <w:t>2019 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D364B4">
      <w:pPr>
        <w:spacing w:line="23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D364B4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 xml:space="preserve">, </w:t>
      </w:r>
      <w:r w:rsidR="006876B6" w:rsidRPr="00E00F6B">
        <w:rPr>
          <w:rFonts w:ascii="Times New Roman" w:hAnsi="Times New Roman"/>
          <w:sz w:val="28"/>
          <w:szCs w:val="28"/>
        </w:rPr>
        <w:lastRenderedPageBreak/>
        <w:t>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D364B4" w:rsidRDefault="003E6C02" w:rsidP="009D662F">
      <w:pPr>
        <w:ind w:firstLine="851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B30448" w:rsidRPr="00D364B4" w:rsidTr="00D364B4">
        <w:tc>
          <w:tcPr>
            <w:tcW w:w="3652" w:type="dxa"/>
            <w:shd w:val="clear" w:color="auto" w:fill="auto"/>
          </w:tcPr>
          <w:p w:rsidR="00B30448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662" w:type="dxa"/>
            <w:shd w:val="clear" w:color="auto" w:fill="auto"/>
          </w:tcPr>
          <w:p w:rsidR="00784969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D364B4">
              <w:rPr>
                <w:rFonts w:ascii="Times New Roman" w:hAnsi="Times New Roman"/>
                <w:sz w:val="26"/>
                <w:szCs w:val="26"/>
              </w:rPr>
              <w:t>ях, публично-правовых компаниях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D364B4" w:rsidTr="00D364B4">
        <w:tc>
          <w:tcPr>
            <w:tcW w:w="3652" w:type="dxa"/>
            <w:shd w:val="clear" w:color="auto" w:fill="auto"/>
          </w:tcPr>
          <w:p w:rsidR="00B30448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662" w:type="dxa"/>
            <w:shd w:val="clear" w:color="auto" w:fill="auto"/>
          </w:tcPr>
          <w:p w:rsidR="00B30448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D364B4">
              <w:rPr>
                <w:rFonts w:ascii="Times New Roman" w:hAnsi="Times New Roman"/>
                <w:sz w:val="26"/>
                <w:szCs w:val="26"/>
              </w:rPr>
              <w:t>ях, публично-правовых компаниях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D364B4" w:rsidTr="00D364B4">
        <w:tc>
          <w:tcPr>
            <w:tcW w:w="3652" w:type="dxa"/>
            <w:shd w:val="clear" w:color="auto" w:fill="auto"/>
          </w:tcPr>
          <w:p w:rsidR="00A33FC4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662" w:type="dxa"/>
            <w:shd w:val="clear" w:color="auto" w:fill="auto"/>
          </w:tcPr>
          <w:p w:rsidR="00B30448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D364B4" w:rsidTr="00D364B4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7904BA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В подразделение по профилактике коррупционных и иных правонарушений </w:t>
            </w:r>
            <w:r w:rsidRPr="00D364B4">
              <w:rPr>
                <w:rFonts w:ascii="Times New Roman" w:hAnsi="Times New Roman"/>
                <w:sz w:val="26"/>
                <w:szCs w:val="26"/>
              </w:rPr>
              <w:lastRenderedPageBreak/>
              <w:t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D364B4">
              <w:rPr>
                <w:rFonts w:ascii="Times New Roman" w:hAnsi="Times New Roman"/>
                <w:sz w:val="26"/>
                <w:szCs w:val="26"/>
              </w:rPr>
              <w:t>, публично-правовой компании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7904BA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лицами, замещающими должности, включенные в перечни, установленные нормативными актами фондов, локальными нормативными актами государственных </w:t>
            </w:r>
            <w:r w:rsidRPr="00D364B4">
              <w:rPr>
                <w:rFonts w:ascii="Times New Roman" w:hAnsi="Times New Roman"/>
                <w:sz w:val="26"/>
                <w:szCs w:val="26"/>
              </w:rPr>
              <w:lastRenderedPageBreak/>
              <w:t>корпораций (компани</w:t>
            </w:r>
            <w:r w:rsidR="00D709FC" w:rsidRPr="00D364B4">
              <w:rPr>
                <w:rFonts w:ascii="Times New Roman" w:hAnsi="Times New Roman"/>
                <w:sz w:val="26"/>
                <w:szCs w:val="26"/>
              </w:rPr>
              <w:t>й, публично-правовых компаний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)</w:t>
            </w:r>
            <w:r w:rsidR="00CD6891" w:rsidRPr="00D364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64B4">
              <w:rPr>
                <w:rFonts w:ascii="Times New Roman" w:hAnsi="Times New Roman"/>
                <w:sz w:val="26"/>
                <w:szCs w:val="26"/>
              </w:rPr>
              <w:t>и иных организаций, созданных на основании федеральных законов</w:t>
            </w:r>
          </w:p>
        </w:tc>
      </w:tr>
      <w:tr w:rsidR="00220B63" w:rsidRPr="00D364B4" w:rsidTr="00D364B4">
        <w:tc>
          <w:tcPr>
            <w:tcW w:w="3652" w:type="dxa"/>
            <w:shd w:val="clear" w:color="auto" w:fill="FFFFFF"/>
          </w:tcPr>
          <w:p w:rsidR="00220B63" w:rsidRPr="00D364B4" w:rsidRDefault="00980A5D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662" w:type="dxa"/>
            <w:shd w:val="clear" w:color="auto" w:fill="FFFFFF"/>
          </w:tcPr>
          <w:p w:rsidR="00FA7EE8" w:rsidRPr="00D364B4" w:rsidRDefault="00980A5D" w:rsidP="00D364B4">
            <w:pPr>
              <w:spacing w:line="23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D364B4" w:rsidTr="00D364B4">
        <w:tc>
          <w:tcPr>
            <w:tcW w:w="3652" w:type="dxa"/>
            <w:shd w:val="clear" w:color="auto" w:fill="FFFFFF"/>
          </w:tcPr>
          <w:p w:rsidR="006876B6" w:rsidRPr="00D364B4" w:rsidRDefault="006876B6" w:rsidP="00D364B4">
            <w:pPr>
              <w:spacing w:line="23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662" w:type="dxa"/>
            <w:shd w:val="clear" w:color="auto" w:fill="FFFFFF"/>
          </w:tcPr>
          <w:p w:rsidR="007904BA" w:rsidRPr="00D364B4" w:rsidRDefault="002B1D10" w:rsidP="00D364B4">
            <w:pPr>
              <w:spacing w:line="23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D364B4">
              <w:rPr>
                <w:rFonts w:ascii="Times New Roman" w:hAnsi="Times New Roman"/>
                <w:sz w:val="26"/>
                <w:szCs w:val="26"/>
              </w:rPr>
              <w:t>атаманами войскового казачьего общества</w:t>
            </w:r>
            <w:r w:rsidR="00C40453" w:rsidRPr="00D364B4">
              <w:rPr>
                <w:rFonts w:ascii="Times New Roman" w:hAnsi="Times New Roman"/>
                <w:sz w:val="26"/>
                <w:szCs w:val="26"/>
              </w:rPr>
              <w:t xml:space="preserve"> и атаманами войскового казачьего общества, избранным</w:t>
            </w:r>
            <w:r w:rsidR="004E1358" w:rsidRPr="00D364B4">
              <w:rPr>
                <w:rFonts w:ascii="Times New Roman" w:hAnsi="Times New Roman"/>
                <w:sz w:val="26"/>
                <w:szCs w:val="26"/>
              </w:rPr>
              <w:t>и</w:t>
            </w:r>
            <w:r w:rsidR="00C40453" w:rsidRPr="00D364B4">
              <w:rPr>
                <w:rFonts w:ascii="Times New Roman" w:hAnsi="Times New Roman"/>
                <w:sz w:val="26"/>
                <w:szCs w:val="26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D364B4" w:rsidRDefault="00B30448" w:rsidP="00767EB3">
      <w:pPr>
        <w:rPr>
          <w:rFonts w:ascii="Times New Roman" w:hAnsi="Times New Roman"/>
          <w:sz w:val="8"/>
          <w:szCs w:val="8"/>
        </w:rPr>
      </w:pPr>
    </w:p>
    <w:p w:rsidR="00835701" w:rsidRPr="00E00F6B" w:rsidRDefault="00980A5D" w:rsidP="00D364B4">
      <w:pPr>
        <w:pStyle w:val="aa"/>
        <w:numPr>
          <w:ilvl w:val="0"/>
          <w:numId w:val="1"/>
        </w:numPr>
        <w:tabs>
          <w:tab w:val="left" w:pos="993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Default="00980A5D" w:rsidP="00D364B4">
      <w:pPr>
        <w:pStyle w:val="aa"/>
        <w:numPr>
          <w:ilvl w:val="0"/>
          <w:numId w:val="1"/>
        </w:numPr>
        <w:tabs>
          <w:tab w:val="left" w:pos="993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C16753" w:rsidRPr="00D364B4" w:rsidRDefault="00C16753" w:rsidP="00D364B4">
      <w:pPr>
        <w:pStyle w:val="aa"/>
        <w:tabs>
          <w:tab w:val="left" w:pos="993"/>
        </w:tabs>
        <w:spacing w:line="230" w:lineRule="auto"/>
        <w:ind w:left="567" w:firstLine="0"/>
        <w:rPr>
          <w:rFonts w:ascii="Times New Roman" w:hAnsi="Times New Roman"/>
          <w:sz w:val="16"/>
          <w:szCs w:val="16"/>
        </w:rPr>
      </w:pPr>
    </w:p>
    <w:p w:rsidR="00BF2B3F" w:rsidRPr="00E00F6B" w:rsidRDefault="00980A5D" w:rsidP="00D364B4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D364B4" w:rsidRDefault="00C26CE3" w:rsidP="00D364B4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835701" w:rsidRPr="00E00F6B" w:rsidRDefault="00980A5D" w:rsidP="00D364B4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Pr="001307DF" w:rsidRDefault="000C7694" w:rsidP="00D364B4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color w:val="FF0000"/>
          <w:sz w:val="28"/>
          <w:szCs w:val="28"/>
        </w:rPr>
      </w:pPr>
      <w:r w:rsidRPr="001307DF">
        <w:rPr>
          <w:rFonts w:ascii="Times New Roman" w:hAnsi="Times New Roman"/>
          <w:color w:val="FF0000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 w:rsidRPr="001307DF">
        <w:rPr>
          <w:rFonts w:ascii="Times New Roman" w:hAnsi="Times New Roman"/>
          <w:color w:val="FF0000"/>
          <w:sz w:val="28"/>
          <w:szCs w:val="28"/>
        </w:rPr>
        <w:t>сведения представляются с использованием специального программного обеспечения «Справки БК» (далее – СПО «Справки БК»).</w:t>
      </w:r>
    </w:p>
    <w:p w:rsidR="00F06684" w:rsidRPr="00386D93" w:rsidRDefault="00481001" w:rsidP="00D364B4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D364B4">
      <w:pPr>
        <w:pStyle w:val="aa"/>
        <w:numPr>
          <w:ilvl w:val="0"/>
          <w:numId w:val="1"/>
        </w:numPr>
        <w:tabs>
          <w:tab w:val="left" w:pos="993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D364B4" w:rsidRDefault="007B5536" w:rsidP="00D364B4">
      <w:pPr>
        <w:tabs>
          <w:tab w:val="left" w:pos="993"/>
        </w:tabs>
        <w:spacing w:line="230" w:lineRule="auto"/>
        <w:rPr>
          <w:rFonts w:ascii="Times New Roman" w:hAnsi="Times New Roman"/>
          <w:sz w:val="16"/>
          <w:szCs w:val="16"/>
        </w:rPr>
      </w:pPr>
    </w:p>
    <w:p w:rsidR="00F142D8" w:rsidRPr="00E00F6B" w:rsidRDefault="00980A5D" w:rsidP="00D364B4">
      <w:pPr>
        <w:pStyle w:val="aa"/>
        <w:tabs>
          <w:tab w:val="left" w:pos="851"/>
          <w:tab w:val="left" w:pos="993"/>
        </w:tabs>
        <w:spacing w:line="23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D364B4" w:rsidRDefault="007B5536" w:rsidP="00D364B4">
      <w:pPr>
        <w:tabs>
          <w:tab w:val="left" w:pos="851"/>
          <w:tab w:val="left" w:pos="993"/>
        </w:tabs>
        <w:spacing w:line="230" w:lineRule="auto"/>
        <w:rPr>
          <w:rFonts w:ascii="Times New Roman" w:hAnsi="Times New Roman"/>
          <w:sz w:val="16"/>
          <w:szCs w:val="16"/>
        </w:rPr>
      </w:pPr>
    </w:p>
    <w:p w:rsidR="00835701" w:rsidRPr="00E00F6B" w:rsidRDefault="00980A5D" w:rsidP="00D364B4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D364B4">
      <w:pPr>
        <w:tabs>
          <w:tab w:val="left" w:pos="567"/>
          <w:tab w:val="left" w:pos="993"/>
        </w:tabs>
        <w:spacing w:line="230" w:lineRule="auto"/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364B4">
      <w:pPr>
        <w:tabs>
          <w:tab w:val="left" w:pos="567"/>
        </w:tabs>
        <w:spacing w:line="23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D364B4">
      <w:pPr>
        <w:pStyle w:val="ConsPlusNonformat"/>
        <w:tabs>
          <w:tab w:val="left" w:pos="567"/>
        </w:tabs>
        <w:spacing w:line="230" w:lineRule="auto"/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D364B4">
      <w:pPr>
        <w:pStyle w:val="ConsPlusNonformat"/>
        <w:tabs>
          <w:tab w:val="left" w:pos="567"/>
        </w:tabs>
        <w:spacing w:line="23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D364B4">
      <w:pPr>
        <w:pStyle w:val="ConsPlusNonformat"/>
        <w:tabs>
          <w:tab w:val="left" w:pos="567"/>
        </w:tabs>
        <w:spacing w:line="23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D364B4">
      <w:pPr>
        <w:pStyle w:val="ConsPlusNonformat"/>
        <w:tabs>
          <w:tab w:val="left" w:pos="567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D364B4">
      <w:pPr>
        <w:pStyle w:val="ConsPlusNonformat"/>
        <w:tabs>
          <w:tab w:val="left" w:pos="567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D364B4">
      <w:pPr>
        <w:pStyle w:val="ConsPlusNonformat"/>
        <w:tabs>
          <w:tab w:val="left" w:pos="567"/>
        </w:tabs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D364B4">
      <w:pPr>
        <w:pStyle w:val="ConsPlusNonformat"/>
        <w:tabs>
          <w:tab w:val="left" w:pos="567"/>
        </w:tabs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D364B4">
      <w:pPr>
        <w:tabs>
          <w:tab w:val="left" w:pos="567"/>
        </w:tabs>
        <w:spacing w:line="230" w:lineRule="auto"/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C16753" w:rsidRDefault="00C16753" w:rsidP="00D364B4">
      <w:pPr>
        <w:tabs>
          <w:tab w:val="left" w:pos="567"/>
        </w:tabs>
        <w:spacing w:line="230" w:lineRule="auto"/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0245BE" w:rsidRPr="00E00F6B" w:rsidRDefault="00096ED3" w:rsidP="00D364B4">
      <w:pPr>
        <w:spacing w:line="23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D364B4">
      <w:pPr>
        <w:spacing w:line="23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D364B4">
      <w:pPr>
        <w:pStyle w:val="aa"/>
        <w:tabs>
          <w:tab w:val="left" w:pos="1134"/>
        </w:tabs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D364B4">
      <w:pPr>
        <w:pStyle w:val="aa"/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lastRenderedPageBreak/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D364B4">
      <w:pPr>
        <w:pStyle w:val="aa"/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D364B4">
      <w:pPr>
        <w:pStyle w:val="aa"/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D364B4">
      <w:pPr>
        <w:pStyle w:val="Default"/>
        <w:numPr>
          <w:ilvl w:val="0"/>
          <w:numId w:val="1"/>
        </w:numPr>
        <w:spacing w:line="230" w:lineRule="auto"/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D364B4">
      <w:pPr>
        <w:tabs>
          <w:tab w:val="left" w:pos="1134"/>
        </w:tabs>
        <w:spacing w:line="23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D364B4">
      <w:pPr>
        <w:pStyle w:val="aa"/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D364B4">
      <w:pPr>
        <w:pStyle w:val="aa"/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D364B4">
      <w:pPr>
        <w:pStyle w:val="aa"/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D364B4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3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D364B4">
      <w:pPr>
        <w:pStyle w:val="a9"/>
        <w:shd w:val="clear" w:color="auto" w:fill="auto"/>
        <w:tabs>
          <w:tab w:val="left" w:pos="142"/>
        </w:tabs>
        <w:spacing w:after="0" w:line="23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</w:t>
      </w: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Федерации; </w:t>
      </w:r>
    </w:p>
    <w:p w:rsidR="00835701" w:rsidRPr="00E00F6B" w:rsidRDefault="00980A5D" w:rsidP="00D364B4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spacing w:line="230" w:lineRule="auto"/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D364B4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D364B4">
      <w:pPr>
        <w:pStyle w:val="a9"/>
        <w:shd w:val="clear" w:color="auto" w:fill="auto"/>
        <w:tabs>
          <w:tab w:val="left" w:pos="142"/>
          <w:tab w:val="left" w:pos="1134"/>
        </w:tabs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D364B4">
      <w:pPr>
        <w:pStyle w:val="a9"/>
        <w:shd w:val="clear" w:color="auto" w:fill="auto"/>
        <w:tabs>
          <w:tab w:val="left" w:pos="142"/>
          <w:tab w:val="left" w:pos="1134"/>
        </w:tabs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денежные средства, полученные в виде процентов при погашении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D364B4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spacing w:line="230" w:lineRule="auto"/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D364B4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spacing w:line="230" w:lineRule="auto"/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D364B4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D364B4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spacing w:line="230" w:lineRule="auto"/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D364B4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spacing w:line="23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D364B4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spacing w:line="230" w:lineRule="auto"/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D364B4">
      <w:pPr>
        <w:pStyle w:val="aa"/>
        <w:numPr>
          <w:ilvl w:val="0"/>
          <w:numId w:val="2"/>
        </w:numPr>
        <w:tabs>
          <w:tab w:val="left" w:pos="1276"/>
        </w:tabs>
        <w:spacing w:line="230" w:lineRule="auto"/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D364B4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3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D364B4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3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D364B4">
      <w:pPr>
        <w:pStyle w:val="aa"/>
        <w:numPr>
          <w:ilvl w:val="0"/>
          <w:numId w:val="2"/>
        </w:numPr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D364B4">
      <w:pPr>
        <w:pStyle w:val="aa"/>
        <w:numPr>
          <w:ilvl w:val="0"/>
          <w:numId w:val="2"/>
        </w:numPr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D364B4">
      <w:pPr>
        <w:pStyle w:val="aa"/>
        <w:numPr>
          <w:ilvl w:val="0"/>
          <w:numId w:val="2"/>
        </w:numPr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D364B4">
      <w:pPr>
        <w:pStyle w:val="aa"/>
        <w:numPr>
          <w:ilvl w:val="0"/>
          <w:numId w:val="2"/>
        </w:numPr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D364B4">
      <w:pPr>
        <w:pStyle w:val="aa"/>
        <w:numPr>
          <w:ilvl w:val="0"/>
          <w:numId w:val="2"/>
        </w:numPr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D364B4">
      <w:pPr>
        <w:pStyle w:val="aa"/>
        <w:numPr>
          <w:ilvl w:val="0"/>
          <w:numId w:val="2"/>
        </w:numPr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D364B4">
      <w:pPr>
        <w:pStyle w:val="aa"/>
        <w:numPr>
          <w:ilvl w:val="0"/>
          <w:numId w:val="2"/>
        </w:numPr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D364B4">
      <w:pPr>
        <w:pStyle w:val="aa"/>
        <w:numPr>
          <w:ilvl w:val="0"/>
          <w:numId w:val="2"/>
        </w:numPr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D364B4">
      <w:pPr>
        <w:pStyle w:val="aa"/>
        <w:numPr>
          <w:ilvl w:val="0"/>
          <w:numId w:val="2"/>
        </w:numPr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D364B4">
      <w:pPr>
        <w:pStyle w:val="aa"/>
        <w:numPr>
          <w:ilvl w:val="0"/>
          <w:numId w:val="2"/>
        </w:numPr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D364B4">
      <w:pPr>
        <w:pStyle w:val="aa"/>
        <w:numPr>
          <w:ilvl w:val="0"/>
          <w:numId w:val="2"/>
        </w:numPr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D364B4">
      <w:pPr>
        <w:pStyle w:val="aa"/>
        <w:numPr>
          <w:ilvl w:val="0"/>
          <w:numId w:val="2"/>
        </w:numPr>
        <w:tabs>
          <w:tab w:val="left" w:pos="1276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D364B4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D364B4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D364B4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D364B4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D364B4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D364B4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D364B4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D364B4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D364B4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D364B4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D364B4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D364B4">
      <w:pPr>
        <w:spacing w:line="23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D364B4">
      <w:pPr>
        <w:pStyle w:val="ConsPlusNormal"/>
        <w:numPr>
          <w:ilvl w:val="0"/>
          <w:numId w:val="1"/>
        </w:numPr>
        <w:spacing w:line="230" w:lineRule="auto"/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D364B4">
      <w:pPr>
        <w:pStyle w:val="ConsPlusNormal"/>
        <w:numPr>
          <w:ilvl w:val="0"/>
          <w:numId w:val="1"/>
        </w:numPr>
        <w:spacing w:line="230" w:lineRule="auto"/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D364B4">
      <w:pPr>
        <w:shd w:val="clear" w:color="auto" w:fill="FFFFFF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D364B4">
      <w:pPr>
        <w:autoSpaceDE w:val="0"/>
        <w:autoSpaceDN w:val="0"/>
        <w:adjustRightInd w:val="0"/>
        <w:spacing w:line="230" w:lineRule="auto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D364B4">
      <w:pPr>
        <w:autoSpaceDE w:val="0"/>
        <w:autoSpaceDN w:val="0"/>
        <w:adjustRightInd w:val="0"/>
        <w:spacing w:line="23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D364B4">
      <w:pPr>
        <w:autoSpaceDE w:val="0"/>
        <w:autoSpaceDN w:val="0"/>
        <w:adjustRightInd w:val="0"/>
        <w:spacing w:line="230" w:lineRule="auto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ложенные рядом и объединенные одним забором, указываются в справке как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D364B4">
      <w:pPr>
        <w:pStyle w:val="aa"/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D364B4">
      <w:pPr>
        <w:pStyle w:val="ConsPlusNonformat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D364B4">
      <w:pPr>
        <w:pStyle w:val="ConsPlusNonformat"/>
        <w:spacing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D364B4">
      <w:pPr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D364B4">
      <w:pPr>
        <w:pStyle w:val="aa"/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D364B4">
      <w:pPr>
        <w:pStyle w:val="ConsPlusNormal"/>
        <w:spacing w:line="230" w:lineRule="auto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D364B4">
      <w:pPr>
        <w:pStyle w:val="ConsPlusNormal"/>
        <w:spacing w:line="230" w:lineRule="auto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</w:t>
      </w:r>
      <w:r w:rsidRPr="002E3630">
        <w:rPr>
          <w:rFonts w:ascii="Times New Roman" w:hAnsi="Times New Roman"/>
          <w:sz w:val="28"/>
          <w:szCs w:val="28"/>
        </w:rPr>
        <w:lastRenderedPageBreak/>
        <w:t>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D364B4">
      <w:pPr>
        <w:pStyle w:val="aa"/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D364B4">
      <w:pPr>
        <w:pStyle w:val="aa"/>
        <w:spacing w:line="23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D364B4">
      <w:pPr>
        <w:spacing w:line="23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D364B4">
      <w:pPr>
        <w:spacing w:line="23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D364B4">
      <w:pPr>
        <w:autoSpaceDE w:val="0"/>
        <w:autoSpaceDN w:val="0"/>
        <w:adjustRightInd w:val="0"/>
        <w:spacing w:line="230" w:lineRule="auto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D364B4">
      <w:pPr>
        <w:pStyle w:val="af3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высшего </w:t>
      </w:r>
      <w:r w:rsidRPr="002E3630">
        <w:rPr>
          <w:rFonts w:ascii="Times New Roman" w:hAnsi="Times New Roman"/>
          <w:sz w:val="28"/>
          <w:szCs w:val="28"/>
        </w:rPr>
        <w:lastRenderedPageBreak/>
        <w:t>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D364B4">
      <w:pPr>
        <w:pStyle w:val="aa"/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10206" w:type="dxa"/>
        <w:tblInd w:w="108" w:type="dxa"/>
        <w:tblLook w:val="04A0"/>
      </w:tblPr>
      <w:tblGrid>
        <w:gridCol w:w="1701"/>
        <w:gridCol w:w="8505"/>
      </w:tblGrid>
      <w:tr w:rsidR="001B075E" w:rsidRPr="005A2B23" w:rsidTr="00D364B4">
        <w:tc>
          <w:tcPr>
            <w:tcW w:w="1701" w:type="dxa"/>
          </w:tcPr>
          <w:p w:rsidR="001B075E" w:rsidRPr="005A2B23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5A2B23">
              <w:rPr>
                <w:rFonts w:ascii="Times New Roman" w:hAnsi="Times New Roman"/>
                <w:sz w:val="26"/>
                <w:szCs w:val="26"/>
              </w:rPr>
              <w:t>Расчетная (дебетовая)</w:t>
            </w:r>
          </w:p>
        </w:tc>
        <w:tc>
          <w:tcPr>
            <w:tcW w:w="8505" w:type="dxa"/>
          </w:tcPr>
          <w:p w:rsidR="001B075E" w:rsidRPr="005A2B23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5A2B23">
              <w:rPr>
                <w:rFonts w:ascii="Times New Roman" w:hAnsi="Times New Roman"/>
                <w:sz w:val="26"/>
                <w:szCs w:val="26"/>
              </w:rPr>
              <w:t>Как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предоставляемого кредитной организацией - 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RPr="005A2B23" w:rsidTr="00D364B4">
        <w:tc>
          <w:tcPr>
            <w:tcW w:w="1701" w:type="dxa"/>
          </w:tcPr>
          <w:p w:rsidR="001B075E" w:rsidRPr="005A2B23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5A2B23">
              <w:rPr>
                <w:rFonts w:ascii="Times New Roman" w:hAnsi="Times New Roman"/>
                <w:sz w:val="26"/>
                <w:szCs w:val="26"/>
              </w:rPr>
              <w:t>Кредитная</w:t>
            </w:r>
          </w:p>
        </w:tc>
        <w:tc>
          <w:tcPr>
            <w:tcW w:w="8505" w:type="dxa"/>
          </w:tcPr>
          <w:p w:rsidR="001B075E" w:rsidRPr="005A2B23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5A2B23">
              <w:rPr>
                <w:rFonts w:ascii="Times New Roman" w:hAnsi="Times New Roman"/>
                <w:sz w:val="26"/>
                <w:szCs w:val="26"/>
              </w:rPr>
              <w:t xml:space="preserve">Как электронное средство платежа используется для совершения ее держателем операций за счет </w:t>
            </w:r>
            <w:r w:rsidRPr="005A2B23">
              <w:rPr>
                <w:rFonts w:ascii="Times New Roman" w:hAnsi="Times New Roman"/>
                <w:sz w:val="26"/>
                <w:szCs w:val="26"/>
              </w:rPr>
              <w:br/>
              <w:t xml:space="preserve">денежных средств, предоставленных кредитной </w:t>
            </w:r>
            <w:r w:rsidRPr="005A2B23">
              <w:rPr>
                <w:rFonts w:ascii="Times New Roman" w:hAnsi="Times New Roman"/>
                <w:sz w:val="26"/>
                <w:szCs w:val="26"/>
              </w:rPr>
              <w:br/>
              <w:t>организацией - 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 xml:space="preserve">, относящихся к овердрафту или к </w:t>
      </w:r>
      <w:r w:rsidRPr="0005750F">
        <w:rPr>
          <w:rFonts w:ascii="Times New Roman" w:hAnsi="Times New Roman"/>
          <w:sz w:val="28"/>
          <w:szCs w:val="28"/>
        </w:rPr>
        <w:lastRenderedPageBreak/>
        <w:t>расходному лимиту соответственно, указывается остаток на соответствующем счете равный нолю («0»).</w:t>
      </w:r>
    </w:p>
    <w:p w:rsidR="00016F61" w:rsidRDefault="00016F61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D364B4">
      <w:pPr>
        <w:pStyle w:val="aa"/>
        <w:spacing w:line="230" w:lineRule="auto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D364B4">
      <w:pPr>
        <w:pStyle w:val="aa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D364B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D364B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D364B4">
      <w:pPr>
        <w:pStyle w:val="aa"/>
        <w:widowControl w:val="0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D526B3" w:rsidRPr="00386D93" w:rsidRDefault="00D526B3" w:rsidP="00D364B4">
      <w:pPr>
        <w:spacing w:line="23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D364B4">
      <w:pPr>
        <w:spacing w:line="23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D364B4">
      <w:pPr>
        <w:spacing w:line="23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D364B4">
      <w:pPr>
        <w:spacing w:line="23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D364B4">
      <w:pPr>
        <w:tabs>
          <w:tab w:val="left" w:pos="426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D364B4">
      <w:pPr>
        <w:pStyle w:val="aa"/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D364B4">
      <w:pPr>
        <w:pStyle w:val="aa"/>
        <w:spacing w:line="230" w:lineRule="auto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D364B4">
      <w:pPr>
        <w:spacing w:line="23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D364B4">
      <w:pPr>
        <w:spacing w:line="230" w:lineRule="auto"/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D364B4">
      <w:pPr>
        <w:spacing w:line="23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D364B4">
      <w:pPr>
        <w:pStyle w:val="aa"/>
        <w:tabs>
          <w:tab w:val="left" w:pos="993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tabs>
          <w:tab w:val="left" w:pos="993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tabs>
          <w:tab w:val="left" w:pos="993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D364B4">
      <w:pPr>
        <w:tabs>
          <w:tab w:val="left" w:pos="993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D364B4">
      <w:pPr>
        <w:tabs>
          <w:tab w:val="left" w:pos="993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D364B4">
      <w:pPr>
        <w:tabs>
          <w:tab w:val="left" w:pos="993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D364B4">
      <w:pPr>
        <w:tabs>
          <w:tab w:val="left" w:pos="993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D364B4">
      <w:pPr>
        <w:tabs>
          <w:tab w:val="left" w:pos="993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D364B4">
      <w:pPr>
        <w:tabs>
          <w:tab w:val="left" w:pos="993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tabs>
          <w:tab w:val="left" w:pos="993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tabs>
          <w:tab w:val="left" w:pos="993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tabs>
          <w:tab w:val="left" w:pos="993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D364B4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tabs>
          <w:tab w:val="left" w:pos="993"/>
        </w:tabs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D364B4">
      <w:pPr>
        <w:pStyle w:val="1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3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D364B4">
      <w:pPr>
        <w:pStyle w:val="1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3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D364B4">
      <w:pPr>
        <w:pStyle w:val="10"/>
        <w:shd w:val="clear" w:color="auto" w:fill="auto"/>
        <w:tabs>
          <w:tab w:val="left" w:pos="993"/>
        </w:tabs>
        <w:spacing w:after="0" w:line="23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D364B4">
      <w:pPr>
        <w:pStyle w:val="aa"/>
        <w:tabs>
          <w:tab w:val="left" w:pos="993"/>
        </w:tabs>
        <w:spacing w:line="23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D364B4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D364B4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D364B4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D364B4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D364B4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D364B4">
      <w:pPr>
        <w:tabs>
          <w:tab w:val="left" w:pos="993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D364B4">
      <w:pPr>
        <w:tabs>
          <w:tab w:val="left" w:pos="993"/>
        </w:tabs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D364B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D364B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D364B4">
      <w:pPr>
        <w:widowControl w:val="0"/>
        <w:autoSpaceDE w:val="0"/>
        <w:autoSpaceDN w:val="0"/>
        <w:adjustRightInd w:val="0"/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D364B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D364B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D364B4">
      <w:pPr>
        <w:pStyle w:val="aa"/>
        <w:numPr>
          <w:ilvl w:val="0"/>
          <w:numId w:val="1"/>
        </w:numPr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Помимо прочего подлежат указанию:</w:t>
      </w:r>
    </w:p>
    <w:p w:rsidR="00F51045" w:rsidRPr="00E00F6B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D364B4">
      <w:pPr>
        <w:pStyle w:val="aa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D364B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D364B4">
      <w:pPr>
        <w:pStyle w:val="aa"/>
        <w:widowControl w:val="0"/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</w:t>
      </w:r>
      <w:r w:rsidRPr="00E00F6B">
        <w:rPr>
          <w:rFonts w:ascii="Times New Roman" w:hAnsi="Times New Roman"/>
          <w:sz w:val="28"/>
          <w:szCs w:val="28"/>
        </w:rPr>
        <w:lastRenderedPageBreak/>
        <w:t>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D364B4">
      <w:pPr>
        <w:pStyle w:val="aa"/>
        <w:spacing w:line="230" w:lineRule="auto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364B4">
      <w:pPr>
        <w:spacing w:line="23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364B4">
      <w:pPr>
        <w:spacing w:line="230" w:lineRule="auto"/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D364B4">
      <w:pPr>
        <w:spacing w:line="23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D364B4" w:rsidRDefault="00522B18" w:rsidP="00D364B4">
      <w:pPr>
        <w:spacing w:line="23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835701" w:rsidRPr="00E00F6B" w:rsidRDefault="001F43C6" w:rsidP="00D364B4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D364B4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D364B4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D364B4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D364B4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D364B4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D364B4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D364B4">
      <w:pPr>
        <w:pStyle w:val="aa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D364B4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D364B4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422532" w:rsidRDefault="003E453D" w:rsidP="00D364B4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D364B4" w:rsidRDefault="00D364B4" w:rsidP="00D364B4">
      <w:pPr>
        <w:widowControl w:val="0"/>
        <w:autoSpaceDE w:val="0"/>
        <w:autoSpaceDN w:val="0"/>
        <w:adjustRightInd w:val="0"/>
        <w:spacing w:line="230" w:lineRule="auto"/>
        <w:rPr>
          <w:rFonts w:ascii="Times New Roman" w:hAnsi="Times New Roman"/>
          <w:sz w:val="28"/>
          <w:szCs w:val="28"/>
        </w:rPr>
      </w:pPr>
    </w:p>
    <w:p w:rsidR="00D364B4" w:rsidRDefault="00D364B4" w:rsidP="00D364B4">
      <w:pPr>
        <w:spacing w:line="23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изменения</w:t>
      </w:r>
      <w:r w:rsidRPr="009A3AB1">
        <w:rPr>
          <w:rFonts w:ascii="Times New Roman" w:hAnsi="Times New Roman"/>
          <w:b/>
          <w:sz w:val="28"/>
          <w:szCs w:val="28"/>
        </w:rPr>
        <w:t xml:space="preserve"> в Методических рекомендациях по вопросам представления сведений о доходах, расходах, об имуществе и обязательствах </w:t>
      </w:r>
      <w:r w:rsidRPr="009A3AB1">
        <w:rPr>
          <w:rFonts w:ascii="Times New Roman" w:hAnsi="Times New Roman"/>
          <w:b/>
          <w:sz w:val="28"/>
          <w:szCs w:val="28"/>
        </w:rPr>
        <w:lastRenderedPageBreak/>
        <w:t>имущественного характера и заполнения соответствующей формы справки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9A3AB1">
        <w:rPr>
          <w:rFonts w:ascii="Times New Roman" w:hAnsi="Times New Roman"/>
          <w:b/>
          <w:sz w:val="28"/>
          <w:szCs w:val="28"/>
        </w:rPr>
        <w:t xml:space="preserve"> году (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9A3AB1">
        <w:rPr>
          <w:rFonts w:ascii="Times New Roman" w:hAnsi="Times New Roman"/>
          <w:b/>
          <w:sz w:val="28"/>
          <w:szCs w:val="28"/>
        </w:rPr>
        <w:t>отчетный 201</w:t>
      </w:r>
      <w:r>
        <w:rPr>
          <w:rFonts w:ascii="Times New Roman" w:hAnsi="Times New Roman"/>
          <w:b/>
          <w:sz w:val="28"/>
          <w:szCs w:val="28"/>
        </w:rPr>
        <w:t>8</w:t>
      </w:r>
      <w:r w:rsidRPr="009A3AB1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</w:t>
      </w:r>
      <w:r w:rsidRPr="009A3AB1">
        <w:rPr>
          <w:rFonts w:ascii="Times New Roman" w:hAnsi="Times New Roman"/>
          <w:b/>
          <w:sz w:val="28"/>
          <w:szCs w:val="28"/>
        </w:rPr>
        <w:t>)</w:t>
      </w:r>
    </w:p>
    <w:p w:rsidR="00D364B4" w:rsidRPr="005A2B23" w:rsidRDefault="00D364B4" w:rsidP="00D364B4">
      <w:pPr>
        <w:spacing w:line="230" w:lineRule="auto"/>
        <w:jc w:val="center"/>
        <w:rPr>
          <w:rFonts w:ascii="Times New Roman" w:hAnsi="Times New Roman"/>
          <w:sz w:val="16"/>
          <w:szCs w:val="16"/>
        </w:rPr>
      </w:pP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  <w:szCs w:val="28"/>
        </w:rPr>
      </w:pPr>
      <w:r w:rsidRPr="001532B9">
        <w:rPr>
          <w:rFonts w:ascii="Times New Roman" w:hAnsi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/>
          <w:sz w:val="28"/>
          <w:szCs w:val="28"/>
        </w:rPr>
        <w:t>а</w:t>
      </w:r>
      <w:r w:rsidRPr="001532B9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15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/>
          <w:sz w:val="28"/>
          <w:szCs w:val="28"/>
        </w:rPr>
        <w:t>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  <w:szCs w:val="28"/>
        </w:rPr>
      </w:pPr>
      <w:r w:rsidRPr="007C7C20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для применения в ходе декларационной кампании 2019 года (за отчетный 2018 год) подготовлены Министерством при участии Администрации Президента Российской Федерации, Центрального банка Российской Федерации и согласованы Генеральной прокуратурой Российской Федерации.</w:t>
      </w: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Методических рекомендациях отмечено, что представление сведений в случае увольнения в период декларационной кампании не является нарушением (пункт 16).</w:t>
      </w: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рекомендации дополнены порядком представления уточненных сведений, в частности, в пункте 29 указано, что при уточнении необходимо представлять только ту справку о доходах, расходах, об имуществе и обязательствах имущественного характера (далее – справка), в которой </w:t>
      </w:r>
      <w:r w:rsidRPr="000730A8">
        <w:rPr>
          <w:rFonts w:ascii="Times New Roman" w:hAnsi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</w:rPr>
        <w:t>.</w:t>
      </w: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пунктах 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/>
          <w:sz w:val="28"/>
        </w:rPr>
        <w:t>специального программного обеспечения</w:t>
      </w:r>
      <w:r>
        <w:rPr>
          <w:rFonts w:ascii="Times New Roman" w:hAnsi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 (подпункт 3</w:t>
      </w:r>
      <w:r w:rsidR="005A2B23">
        <w:rPr>
          <w:rFonts w:ascii="Times New Roman" w:hAnsi="Times New Roman"/>
          <w:sz w:val="28"/>
        </w:rPr>
        <w:t>5 пункта 58, подпункт 22 пункта </w:t>
      </w:r>
      <w:r>
        <w:rPr>
          <w:rFonts w:ascii="Times New Roman" w:hAnsi="Times New Roman"/>
          <w:sz w:val="28"/>
        </w:rPr>
        <w:t>60 и др.).</w:t>
      </w: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Уточнены положения Методических рекомендаций, касающиеся заполнения сведений о счетах в банках и иных кредитных организациях.</w:t>
      </w: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Методических рекомендациях указано, что в подразделе 6.2 необходимо отражать следующую информацию:</w:t>
      </w: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об </w:t>
      </w:r>
      <w:r w:rsidRPr="000730A8">
        <w:rPr>
          <w:rFonts w:ascii="Times New Roman" w:hAnsi="Times New Roman"/>
          <w:sz w:val="28"/>
        </w:rPr>
        <w:t>обязательств</w:t>
      </w:r>
      <w:r>
        <w:rPr>
          <w:rFonts w:ascii="Times New Roman" w:hAnsi="Times New Roman"/>
          <w:sz w:val="28"/>
        </w:rPr>
        <w:t>ах</w:t>
      </w:r>
      <w:r w:rsidRPr="000730A8">
        <w:rPr>
          <w:rFonts w:ascii="Times New Roman" w:hAnsi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об </w:t>
      </w:r>
      <w:r w:rsidRPr="000730A8">
        <w:rPr>
          <w:rFonts w:ascii="Times New Roman" w:hAnsi="Times New Roman"/>
          <w:sz w:val="28"/>
        </w:rPr>
        <w:t>обязательств</w:t>
      </w:r>
      <w:r>
        <w:rPr>
          <w:rFonts w:ascii="Times New Roman" w:hAnsi="Times New Roman"/>
          <w:sz w:val="28"/>
        </w:rPr>
        <w:t>ах</w:t>
      </w:r>
      <w:r w:rsidRPr="000730A8">
        <w:rPr>
          <w:rFonts w:ascii="Times New Roman" w:hAnsi="Times New Roman"/>
          <w:sz w:val="28"/>
        </w:rPr>
        <w:t xml:space="preserve"> по договорам пенсионного страхования; </w:t>
      </w: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об </w:t>
      </w:r>
      <w:r w:rsidRPr="000730A8">
        <w:rPr>
          <w:rFonts w:ascii="Times New Roman" w:hAnsi="Times New Roman"/>
          <w:sz w:val="28"/>
        </w:rPr>
        <w:t>обязательств</w:t>
      </w:r>
      <w:r>
        <w:rPr>
          <w:rFonts w:ascii="Times New Roman" w:hAnsi="Times New Roman"/>
          <w:sz w:val="28"/>
        </w:rPr>
        <w:t>ах</w:t>
      </w:r>
      <w:r w:rsidRPr="000730A8">
        <w:rPr>
          <w:rFonts w:ascii="Times New Roman" w:hAnsi="Times New Roman"/>
          <w:sz w:val="28"/>
        </w:rPr>
        <w:t xml:space="preserve"> по договорам 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>
        <w:rPr>
          <w:rFonts w:ascii="Times New Roman" w:hAnsi="Times New Roman"/>
          <w:sz w:val="28"/>
        </w:rPr>
        <w:t xml:space="preserve">; </w:t>
      </w: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 заключенных договорах о брокерском обслуживании;</w:t>
      </w:r>
    </w:p>
    <w:p w:rsidR="00D364B4" w:rsidRDefault="00D364B4" w:rsidP="00D364B4">
      <w:pPr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 заключенных договорах на ведение индивидуальных инвестиционных счетов. </w:t>
      </w:r>
    </w:p>
    <w:p w:rsidR="00D364B4" w:rsidRPr="00D364B4" w:rsidRDefault="00D364B4" w:rsidP="00D364B4">
      <w:pPr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связи дополнительно отмечаем</w:t>
      </w:r>
      <w:r w:rsidR="005A2B23">
        <w:rPr>
          <w:rFonts w:ascii="Times New Roman" w:hAnsi="Times New Roman"/>
          <w:sz w:val="28"/>
        </w:rPr>
        <w:t>, что письмо Минтруда России от </w:t>
      </w:r>
      <w:r>
        <w:rPr>
          <w:rFonts w:ascii="Times New Roman" w:hAnsi="Times New Roman"/>
          <w:sz w:val="28"/>
        </w:rPr>
        <w:t>11 апреля 2018 г. № 18-2/10/В-2575 в части, касающейся заполнения справки, фактически утрачивает силу.</w:t>
      </w:r>
    </w:p>
    <w:sectPr w:rsidR="00D364B4" w:rsidRPr="00D364B4" w:rsidSect="00D364B4">
      <w:headerReference w:type="default" r:id="rId27"/>
      <w:pgSz w:w="11906" w:h="16838"/>
      <w:pgMar w:top="567" w:right="567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D1" w:rsidRDefault="00B029D1" w:rsidP="00204BB5">
      <w:r>
        <w:separator/>
      </w:r>
    </w:p>
  </w:endnote>
  <w:endnote w:type="continuationSeparator" w:id="0">
    <w:p w:rsidR="00B029D1" w:rsidRDefault="00B029D1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D1" w:rsidRDefault="00B029D1" w:rsidP="00204BB5">
      <w:r>
        <w:separator/>
      </w:r>
    </w:p>
  </w:footnote>
  <w:footnote w:type="continuationSeparator" w:id="0">
    <w:p w:rsidR="00B029D1" w:rsidRDefault="00B029D1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B4" w:rsidRPr="00D364B4" w:rsidRDefault="00D364B4" w:rsidP="00D364B4">
    <w:pPr>
      <w:pStyle w:val="a3"/>
      <w:tabs>
        <w:tab w:val="left" w:pos="5205"/>
        <w:tab w:val="center" w:pos="5457"/>
      </w:tabs>
      <w:jc w:val="center"/>
    </w:pPr>
    <w:r w:rsidRPr="00D364B4">
      <w:rPr>
        <w:rFonts w:ascii="Times New Roman" w:hAnsi="Times New Roman"/>
      </w:rPr>
      <w:fldChar w:fldCharType="begin"/>
    </w:r>
    <w:r w:rsidRPr="00D364B4">
      <w:rPr>
        <w:rFonts w:ascii="Times New Roman" w:hAnsi="Times New Roman"/>
      </w:rPr>
      <w:instrText xml:space="preserve"> PAGE   \* MERGEFORMAT </w:instrText>
    </w:r>
    <w:r w:rsidRPr="00D364B4">
      <w:rPr>
        <w:rFonts w:ascii="Times New Roman" w:hAnsi="Times New Roman"/>
      </w:rPr>
      <w:fldChar w:fldCharType="separate"/>
    </w:r>
    <w:r w:rsidR="005A2B23">
      <w:rPr>
        <w:rFonts w:ascii="Times New Roman" w:hAnsi="Times New Roman"/>
        <w:noProof/>
      </w:rPr>
      <w:t>35</w:t>
    </w:r>
    <w:r w:rsidRPr="00D364B4">
      <w:rPr>
        <w:rFonts w:ascii="Times New Roman" w:hAnsi="Times New Roman"/>
      </w:rPr>
      <w:fldChar w:fldCharType="end"/>
    </w:r>
  </w:p>
  <w:p w:rsidR="00D364B4" w:rsidRPr="00D364B4" w:rsidRDefault="00D364B4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61BF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07D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19BF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65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2B23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92721"/>
    <w:rsid w:val="007A044B"/>
    <w:rsid w:val="007A4BAE"/>
    <w:rsid w:val="007A7E7A"/>
    <w:rsid w:val="007B34F0"/>
    <w:rsid w:val="007B5536"/>
    <w:rsid w:val="007C06C9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5B1F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43853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1497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29D1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16753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64B4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D655A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2B45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7F8226E-3062-41B8-ADAF-E359FC87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36</Pages>
  <Words>16543</Words>
  <Characters>94300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110622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Home</cp:lastModifiedBy>
  <cp:revision>6</cp:revision>
  <cp:lastPrinted>2019-02-08T11:30:00Z</cp:lastPrinted>
  <dcterms:created xsi:type="dcterms:W3CDTF">2019-01-17T17:49:00Z</dcterms:created>
  <dcterms:modified xsi:type="dcterms:W3CDTF">2019-02-08T11:37:00Z</dcterms:modified>
</cp:coreProperties>
</file>