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29" w:rsidRPr="00065929" w:rsidRDefault="00065929" w:rsidP="00065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№1</w:t>
      </w:r>
    </w:p>
    <w:p w:rsidR="00065929" w:rsidRPr="00065929" w:rsidRDefault="00065929" w:rsidP="00065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 </w:t>
      </w:r>
    </w:p>
    <w:p w:rsidR="00065929" w:rsidRPr="00065929" w:rsidRDefault="00065929" w:rsidP="00065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сельского  поселения</w:t>
      </w:r>
    </w:p>
    <w:p w:rsidR="00065929" w:rsidRPr="00065929" w:rsidRDefault="00065929" w:rsidP="00065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от 20.01.2014 г.  №3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ГЕНЕРАЛЬНАЯ СХЕМА 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САНИТАРНОЙ  ОЧИСТКИ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ТЕРРИТОРИИ БУЛГАКОВСКОГО  СЕЛЬСКОГО ПОСЕЛЕНИЯ 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ДУХОВЩИНСКОГО  РАЙОНА 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СМОЛЕНСКОЙ  ОБЛАСТИ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65929" w:rsidRPr="00065929" w:rsidRDefault="00065929" w:rsidP="0006592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д. Булгаково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smartTag w:uri="urn:schemas-microsoft-com:office:smarttags" w:element="metricconverter">
        <w:smartTagPr>
          <w:attr w:name="ProductID" w:val="2014 г"/>
        </w:smartTagPr>
        <w:r w:rsidRPr="00065929">
          <w:rPr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t>2014 г</w:t>
        </w:r>
      </w:smartTag>
      <w:r w:rsidRPr="00065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65929" w:rsidRPr="00065929" w:rsidRDefault="00065929" w:rsidP="00065929">
      <w:pPr>
        <w:tabs>
          <w:tab w:val="righ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СОДЕРЖАНИЕ</w:t>
      </w: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34"/>
        <w:gridCol w:w="6804"/>
        <w:gridCol w:w="708"/>
      </w:tblGrid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положения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1.1.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сведения о поселении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Основная часть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2.1.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Краткая характеристика объекта и природно-климатические условия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2.2.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Существующее состояние и развитие поселения на перспективу</w:t>
            </w:r>
          </w:p>
          <w:p w:rsidR="00065929" w:rsidRPr="00065929" w:rsidRDefault="00065929" w:rsidP="0006592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2.3.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Современное состояние системы санитарной очистки и  уборки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2.3.1.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Сбор, удаление и размещение отходов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2.3.2.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Твердые бытовые отходы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2.3.3.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Отходы 1-2 класса опасности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2.3.4.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Биологические отходы</w:t>
            </w: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2.3.5.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 и уборка придомовых и обособленных территорий</w:t>
            </w:r>
          </w:p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2.4.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Транспортно-производственная база  </w:t>
            </w:r>
          </w:p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3.</w:t>
            </w:r>
          </w:p>
        </w:tc>
        <w:tc>
          <w:tcPr>
            <w:tcW w:w="6804" w:type="dxa"/>
          </w:tcPr>
          <w:p w:rsidR="00065929" w:rsidRPr="00065929" w:rsidRDefault="00065929" w:rsidP="00065929">
            <w:pPr>
              <w:tabs>
                <w:tab w:val="right" w:pos="93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Финансирование мероприятий по санитарной очистке</w:t>
            </w:r>
          </w:p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65929" w:rsidRPr="00065929" w:rsidTr="00066E71"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360" w:lineRule="auto"/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_Toc147023656"/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65929" w:rsidRPr="00065929" w:rsidRDefault="00065929" w:rsidP="00065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65929" w:rsidRPr="00065929" w:rsidRDefault="00065929" w:rsidP="00065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Введение</w:t>
      </w:r>
      <w:bookmarkEnd w:id="1"/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промышленности и сельского хозяйства, рост городов, поселков городского типа и сельских поселений приводят к загрязнению окружающей природной среды, ухудшают условия проживания людей, в том числе в сельских поселениях.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Очистка территорий населенных пунктов – одно из важнейших мероприятий, направленных на обеспечение экологического и санитарно-эпидемиологического благополучия населения и охраны окружающей среды, в связи с чем, была разработана схема санитарной очистки территории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 области.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Разработчиком схемы санитарной очистки территории сельского поселения является  Администрация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разработки схемы санитарной очистки послужили: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от 30.03.1999 г. № 52 «О санитарно-эпидемиологическом благополучии населения».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2.Федеральный закон от 10.01.2002 г. № 7-ФЗ «Об охране окружающей природной среды».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3.Федеральный закон от 24.06.1998 г. № 89-ФЗ  «Об отходах производства и потребления».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Федеральный закон от 21.12.1994 г. № 68-ФЗ «О защите населения и территорий от чрезвычайных ситуаций природного и техногенного характера».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СанПиН 42-128-4690-88 «Санитарные правила содержания территорий населенных мест»    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2" w:name="_Toc147023657"/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keepNext/>
        <w:numPr>
          <w:ilvl w:val="0"/>
          <w:numId w:val="4"/>
        </w:numPr>
        <w:spacing w:before="240" w:after="60" w:line="240" w:lineRule="auto"/>
        <w:ind w:left="714" w:hanging="35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Общие ПОЛОЖЕНИЯ</w:t>
      </w:r>
      <w:bookmarkEnd w:id="2"/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территорий населенных пунктов –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схема санитарной очистки территории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направлена на решение комплекса работ по организации, сбора, удаления и размещения бытовых отходов, а также определяет очередность осуществления этих мероприятий.  </w:t>
      </w:r>
    </w:p>
    <w:p w:rsidR="00065929" w:rsidRPr="00065929" w:rsidRDefault="00065929" w:rsidP="00065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numPr>
          <w:ilvl w:val="1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Общие сведения  О ПОСЕЛЕНИИ</w:t>
      </w:r>
    </w:p>
    <w:p w:rsidR="00065929" w:rsidRPr="00065929" w:rsidRDefault="00065929" w:rsidP="0006592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Площадь территории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- 458,3 км². Административным центром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Смоленской области является д. Булгаково.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Численность населения на 01.01.2014 г.– 854 чел.</w:t>
      </w:r>
    </w:p>
    <w:p w:rsidR="00065929" w:rsidRPr="00065929" w:rsidRDefault="00065929" w:rsidP="00065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состав территории сельского поселения входят 38 населенных пунктов.</w:t>
      </w: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65929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eastAsia="ru-RU"/>
        </w:rPr>
        <w:t xml:space="preserve">       </w:t>
      </w:r>
      <w:r w:rsidRPr="0006592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Булгаковское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 расположено в центральной части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Духовщинского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района. </w:t>
      </w:r>
    </w:p>
    <w:p w:rsidR="00065929" w:rsidRPr="00065929" w:rsidRDefault="00065929" w:rsidP="00065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Поселение граничит: 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севере — с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Бересневским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сельским поселением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востоке — с Третьяковским сельским поселением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юго-востоке — с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Духовщинским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городским поселением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юге — с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Бабинским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сельским поселением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юго-западе — со Смоленским районом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западе — с Демидовским районом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территории поселения проходит: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- автомобильная дорога Р136 Смоленск — Нелидово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 железная дорога Смоленск — Озёрный, станции: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Ерыши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Крупные реки: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Гобза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, Царевич.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Административный центр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находится в д. Булгаково, расположенной в </w:t>
      </w:r>
      <w:smartTag w:uri="urn:schemas-microsoft-com:office:smarttags" w:element="metricconverter">
        <w:smartTagPr>
          <w:attr w:name="ProductID" w:val="19 км"/>
        </w:smartTagPr>
        <w:r w:rsidRPr="0006592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19 км</w:t>
        </w:r>
      </w:smartTag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.Д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уховщина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 территории поселения проходит автомобильная дорога Р136 Смоленск — Нелидово.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Территория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Духовщинского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района включает сельские населенные пункты, образованные исходя из исторически сложившегося расселения, социально-экономических и культурных связей территорий.  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Путями сообщения служат асфальтированные, а также грунтовые дороги, хорошо проходимые в сухое время года. В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Булгаковском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сельском поселении проходит  автомагистраль с автобусным сообщением.</w:t>
      </w:r>
    </w:p>
    <w:p w:rsidR="00065929" w:rsidRPr="00065929" w:rsidRDefault="00065929" w:rsidP="00065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065929" w:rsidRPr="00065929" w:rsidRDefault="00065929" w:rsidP="000659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47023658"/>
    </w:p>
    <w:p w:rsidR="00065929" w:rsidRPr="00065929" w:rsidRDefault="00065929" w:rsidP="00065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6592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Основная часть</w:t>
      </w:r>
      <w:bookmarkEnd w:id="3"/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65929" w:rsidRPr="00065929" w:rsidRDefault="00065929" w:rsidP="00065929">
      <w:pPr>
        <w:keepNext/>
        <w:numPr>
          <w:ilvl w:val="1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47023659"/>
      <w:r w:rsidRPr="0006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объекта и природно-климатические условия</w:t>
      </w:r>
      <w:bookmarkEnd w:id="4"/>
    </w:p>
    <w:p w:rsidR="00065929" w:rsidRPr="00065929" w:rsidRDefault="00065929" w:rsidP="00065929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Территория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расположена в центральной части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Духовщинского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района. </w:t>
      </w:r>
      <w:r w:rsidRPr="0006592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Учитывая небольшие размеры района, его компактность, климатические условия не имеют резких территориальных контрастов и не вызывают планировочных ограничений.</w:t>
      </w:r>
    </w:p>
    <w:p w:rsidR="00065929" w:rsidRPr="00065929" w:rsidRDefault="00065929" w:rsidP="0006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Климат умеренно-континентальный, характеризуется сравнительно теплым летом и умеренно холодной зимой. В пределах района преобладают ветры западных и юго-западных направлений. Средние годовые значения метеорологических элементов представлены в таблице.</w:t>
      </w:r>
    </w:p>
    <w:p w:rsidR="00065929" w:rsidRPr="00065929" w:rsidRDefault="00065929" w:rsidP="0006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Зима начинается в середине ноября и заканчивается во второй половине марта.</w:t>
      </w:r>
    </w:p>
    <w:p w:rsidR="00065929" w:rsidRPr="00065929" w:rsidRDefault="00065929" w:rsidP="00065929">
      <w:pPr>
        <w:shd w:val="clear" w:color="auto" w:fill="FFFFFF"/>
        <w:spacing w:before="6" w:after="0" w:line="240" w:lineRule="auto"/>
        <w:ind w:left="30" w:right="28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lastRenderedPageBreak/>
        <w:t xml:space="preserve">Территория поселения относится к зоне достаточного увлажнения. Среднегодовое количество </w:t>
      </w:r>
      <w:r w:rsidRPr="00065929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осадков составляет 650-</w:t>
      </w:r>
      <w:smartTag w:uri="urn:schemas-microsoft-com:office:smarttags" w:element="metricconverter">
        <w:smartTagPr>
          <w:attr w:name="ProductID" w:val="700 мм"/>
        </w:smartTagPr>
        <w:r w:rsidRPr="00065929">
          <w:rPr>
            <w:rFonts w:ascii="Times New Roman" w:eastAsia="Times New Roman" w:hAnsi="Times New Roman" w:cs="Times New Roman"/>
            <w:spacing w:val="1"/>
            <w:sz w:val="24"/>
            <w:szCs w:val="20"/>
            <w:lang w:eastAsia="ru-RU"/>
          </w:rPr>
          <w:t>700 мм</w:t>
        </w:r>
      </w:smartTag>
      <w:r w:rsidRPr="00065929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из них 70% осадков выпадает с апреля по ок</w:t>
      </w:r>
      <w:r w:rsidRPr="00065929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тябрь месяц; высота снежного покрова 48-</w:t>
      </w:r>
      <w:smartTag w:uri="urn:schemas-microsoft-com:office:smarttags" w:element="metricconverter">
        <w:smartTagPr>
          <w:attr w:name="ProductID" w:val="59 см"/>
        </w:smartTagPr>
        <w:r w:rsidRPr="00065929">
          <w:rPr>
            <w:rFonts w:ascii="Times New Roman" w:eastAsia="Times New Roman" w:hAnsi="Times New Roman" w:cs="Times New Roman"/>
            <w:spacing w:val="-2"/>
            <w:sz w:val="24"/>
            <w:szCs w:val="20"/>
            <w:lang w:eastAsia="ru-RU"/>
          </w:rPr>
          <w:t>59 см</w:t>
        </w:r>
      </w:smartTag>
      <w:r w:rsidRPr="00065929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, суммарная солнечная радиация </w:t>
      </w:r>
      <w:r w:rsidRPr="00065929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>составляет 82,9 ккал/см, число солнечных дней в году составляет 252 дня.</w:t>
      </w:r>
    </w:p>
    <w:p w:rsidR="00065929" w:rsidRPr="00065929" w:rsidRDefault="00065929" w:rsidP="00065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В течение теплого времени года (апрель-сентябрь) преобладают ветры западного и </w:t>
      </w:r>
      <w:r w:rsidRPr="00065929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северо-западного направлений. Ветры юго-западного и юго-восточного направлений резко повышают </w:t>
      </w: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температуру и сухость воздуха.</w:t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Среднегодовая температура воздуха составляет 4,0 градусов по Цельсию.</w:t>
      </w:r>
    </w:p>
    <w:p w:rsidR="00065929" w:rsidRPr="00065929" w:rsidRDefault="00065929" w:rsidP="00065929">
      <w:pPr>
        <w:shd w:val="clear" w:color="auto" w:fill="FFFFFF"/>
        <w:spacing w:after="0" w:line="240" w:lineRule="auto"/>
        <w:ind w:left="36" w:right="28" w:firstLine="7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929" w:rsidRPr="00065929" w:rsidRDefault="00065929" w:rsidP="00065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Toc147023660"/>
      <w:r w:rsidRPr="0006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Существующее состояние и развитие поселения на перспективу</w:t>
      </w:r>
      <w:bookmarkEnd w:id="5"/>
      <w:r w:rsidRPr="00065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65929" w:rsidRPr="00065929" w:rsidRDefault="00065929" w:rsidP="00065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Численность населения </w:t>
      </w:r>
      <w:proofErr w:type="spellStart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proofErr w:type="spellStart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Духовщинского</w:t>
      </w:r>
      <w:proofErr w:type="spellEnd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составила 854 чел. (6 % населения района), в </w:t>
      </w:r>
      <w:proofErr w:type="spellStart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т.ч</w:t>
      </w:r>
      <w:proofErr w:type="spellEnd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 </w:t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Булгаково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роживает 185 чел., Средняя плотность населения в поселении – </w:t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1,86</w:t>
      </w:r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чел./км</w:t>
      </w:r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что почти в </w:t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раз ниже, чем в среднем по области (20 </w:t>
      </w:r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чел./км</w:t>
      </w:r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5929" w:rsidRPr="00065929" w:rsidRDefault="00065929" w:rsidP="00065929">
      <w:pPr>
        <w:spacing w:after="0" w:line="240" w:lineRule="auto"/>
        <w:ind w:firstLine="540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населения </w:t>
      </w:r>
      <w:proofErr w:type="spellStart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proofErr w:type="spellStart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Духовщинского</w:t>
      </w:r>
      <w:proofErr w:type="spellEnd"/>
      <w:r w:rsidRPr="000659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(как и для России в целом) характерна депопуляция, ее скорость составляет в среднем 3% в год.</w:t>
      </w:r>
    </w:p>
    <w:p w:rsidR="00065929" w:rsidRPr="00065929" w:rsidRDefault="00065929" w:rsidP="00065929">
      <w:pPr>
        <w:tabs>
          <w:tab w:val="left" w:pos="2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состав  населения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929" w:rsidRPr="00065929" w:rsidRDefault="00065929" w:rsidP="00065929">
      <w:pPr>
        <w:tabs>
          <w:tab w:val="left" w:pos="2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 до 7 лет – 66; </w:t>
      </w:r>
    </w:p>
    <w:p w:rsidR="00065929" w:rsidRPr="00065929" w:rsidRDefault="00065929" w:rsidP="00065929">
      <w:pPr>
        <w:tabs>
          <w:tab w:val="left" w:pos="2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7 до 17 лет – 52, </w:t>
      </w:r>
    </w:p>
    <w:p w:rsidR="00065929" w:rsidRPr="00065929" w:rsidRDefault="00065929" w:rsidP="00065929">
      <w:pPr>
        <w:tabs>
          <w:tab w:val="left" w:pos="2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 до 55/60 лет – 525, </w:t>
      </w:r>
    </w:p>
    <w:p w:rsidR="00065929" w:rsidRPr="00065929" w:rsidRDefault="00065929" w:rsidP="00065929">
      <w:pPr>
        <w:tabs>
          <w:tab w:val="left" w:pos="2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55/60 лет – 211.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Трудоспособное население – 407 чел.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производственной сфере – 35 чел.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в сфере обслуживания – 48 чел.</w:t>
      </w: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населенных пунктах и количестве населения по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Булгаковскому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384"/>
        <w:gridCol w:w="2126"/>
        <w:gridCol w:w="2127"/>
      </w:tblGrid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хозяйств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населения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Аболонье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Булгаково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Бобыли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Браклица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Введенье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Глядки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Головицы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Данильево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Дворяниново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Елисеевичи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Ерыши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Жуково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Заберезье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Загусинье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Замаличье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Зимец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Каменка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Колошино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Лукшино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Манино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Нескучное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Земля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Озерецкое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Пастрихово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Перелоги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Пластицы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Плотки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Степаново</w:t>
            </w:r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Хвощево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929" w:rsidRPr="00065929" w:rsidTr="00066E71">
        <w:tc>
          <w:tcPr>
            <w:tcW w:w="8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8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Шевяки</w:t>
            </w:r>
            <w:proofErr w:type="spellEnd"/>
          </w:p>
        </w:tc>
        <w:tc>
          <w:tcPr>
            <w:tcW w:w="212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06592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Инерционный</w:t>
      </w:r>
      <w:proofErr w:type="gramEnd"/>
      <w:r w:rsidRPr="0006592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(численность населения сокращается из-за низкого естественного прироста, старение населения). 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 Организация водоснабжения в поселении</w:t>
      </w:r>
    </w:p>
    <w:p w:rsidR="00065929" w:rsidRPr="00065929" w:rsidRDefault="00065929" w:rsidP="00065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территории муниципального образования для водоснабжения сельского поселения  используются подземные артезианские скважины, а также шахтные колодцы. 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Подземные воды отличаются достаточно высоким содержанием  окислов железа и жесткостью.  Многие скважины заброшены и нуждаются в тампонировании. 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>Артскважины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водопроводов на селе находится на балансе сельхозпредприятий. Специалистов по их обслуживанию и ремонту в сельхозпредприятиях нет.</w:t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929" w:rsidRPr="00065929" w:rsidRDefault="00065929" w:rsidP="00065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6" w:name="_Toc147023661"/>
      <w:r w:rsidRPr="00065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2.3. Современное состояние системы санитарной очистки и уборки</w:t>
      </w:r>
      <w:bookmarkEnd w:id="6"/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Загрязненность окружающей среды отходами в настоящее время является серьезной проблемой в сельском поселении. Все возрастающее количество отходов (в том числе опасных), отсутствие учета, беспорядочное и бесконтрольное складирование оказывает отрицательное воздействие на состояние здоровья населения и на окружающую среду.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неправильном захоронении  отходы представляют угрозу здоровью населения, загрязняют почву, поверхностные и подземные воды, занимают сельскохозяйственные угодья и создают эстетические и рекреационные проблемы. Поэтому одной из наиболее важных задач охраны окружающей природной среды является проблема сбора  и  вывоза мусора, утилизации и размещения отходов.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нет обустроенного полигона ТБО, ближайший полигон ТБО находится в </w:t>
      </w:r>
      <w:smartTag w:uri="urn:schemas-microsoft-com:office:smarttags" w:element="metricconverter">
        <w:smartTagPr>
          <w:attr w:name="ProductID" w:val="40 километрах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километрах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центра сельской администрации  в  д.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Воротышино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района.  В  настоящее  время  идет  строительство  полигона  на  территории  сельского  поселения  возле  д.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района.  Данный  полигон  является  собственностью  муниципального  образования  «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Духовщинский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район» Смоленской  области. Установлено, что от сельских жителей на свалки поступает на 25-30 % отходов меньше, чем от городских, поскольку бытовые отходы сельских населенных пунктов содержат заметно меньшее количество компостируемых веществ, как правило, они  вносятся в почву, идут на корм скоту или сжигаются на местах в кострах и отопительных печах. Это снижает объем утилизируемых отходов в сельских населенных пунктах не менее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25–30 %. 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образования бытовых отходов для сельского населения не превысит 0,2 т/год на человека;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ожидаемый объем отходов от 16 действующих  населенных пунктов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составит: 0,2 т/год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х 854 чел.  = 170,8 т/год.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Поскольку к вывозу на полигон не принимаются производственные отходы 1, 2 и 3 классов опасности (ртутные лампы, ядохимикаты и минеральные удобрения, пришедшие в негодность  и пр.), они должны собираться и утилизироваться по договорам с лицензированными организациями отдельно.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прогнозируемый объем подлежащих утилизации отходов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составит 170,8 т/год.</w:t>
      </w:r>
    </w:p>
    <w:p w:rsidR="00065929" w:rsidRPr="00065929" w:rsidRDefault="00065929" w:rsidP="00065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 Сбор, удаление и размещение   отходов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твердых бытовых отходов, образующихся от уборки жилых помещений и административных зданий и объектов социальной сферы (почтовые отделения, фельдшерско-акушерские пункты, школа, библиотека, магазины) должен производиться в типовые контейнеры, размещенные на оборудованных контейнерных площадках.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Контейнерные площадки, предназначенные для сбора и хранения твердых бытовых отходов, должны размещаться в установленном порядке. Исполнение и 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сбором твердых бытовых отходов, в том числе по обращению с ТБО   опасности возложены: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населенным пунктам,  на администрацию; </w:t>
      </w:r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объектам культурно – бытового назначения (библиотеки, школы, детские сады, фельдшерско-акушерский пункты, отделения связи,)  на руководителей;</w:t>
      </w:r>
      <w:proofErr w:type="gramEnd"/>
    </w:p>
    <w:p w:rsidR="00065929" w:rsidRPr="00065929" w:rsidRDefault="00065929" w:rsidP="000659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-объектам торговли  на владельцев магазинов.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Отходы, находящиеся на площадках временного хранения, могут создавать мгновенные, краткосрочные и долгосрочные проблемы, как для окружающей среды, так и для здоровья человека. Ликвидация ошибок, допущенных ранее, обходится, как правило, значительно дороже, чем разработка и принятие профилактических мер. Поэтому важно провести оценку возможных неблагоприятных последствий на всех этапах процесса обращения с отходами в сельском поселении.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следующие этапы обращения с отходами:</w:t>
      </w:r>
    </w:p>
    <w:p w:rsidR="00065929" w:rsidRPr="00065929" w:rsidRDefault="00065929" w:rsidP="000659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(жилые и административные здания, школа, магазины, почтовое отделение, библиотека, фельдшерско-акушерские пункты);</w:t>
      </w:r>
    </w:p>
    <w:p w:rsidR="00065929" w:rsidRPr="00065929" w:rsidRDefault="00065929" w:rsidP="000659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(транспортировка отходов к местам накопления отходов – контейнерным площадкам);</w:t>
      </w:r>
    </w:p>
    <w:p w:rsidR="00065929" w:rsidRPr="00065929" w:rsidRDefault="00065929" w:rsidP="000659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(в сельском поселении осуществляется силами МУП  «Управление  коммунального  хозяйства»  на  основании  договора  с  администрацией, от специально оборудованных контейнерных площадок, до места захоронения отходов и до предприятия-переработчика отходов, имеющих соответствующие лицензии);</w:t>
      </w:r>
    </w:p>
    <w:p w:rsidR="00065929" w:rsidRPr="00065929" w:rsidRDefault="00065929" w:rsidP="000659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(включает в себя понятие «хранение» и «захоронение», на территории сельского поселения планируется осуществлять только хранение отходов от момента их сбора до момента вывоза).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этапе Администрация сельского поселения должна проводить 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безопасным обращением с отходами, так как, организацию деятельности в области обращения с отходами на территориях поселений осуществляют органы местного самоуправления.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2.3.2. Твердые бытовые отходы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разделяют на отходы производства и отходы потребления. Отходы, образующиеся в сельском поселении, можно отнести к отходам потребления, так как, это отходы, которые образовались в результате уборки жилых и административных помещений, в результате их ремонта  (твердые бытовые отходы, далее - ТБО). К отходам потребления также можно отнести продукцию, которая утратила свои потребительские свойства – это предметы обихода, различны виды  упаковочной тары (отходы полиэтилена, ПЭТ бутылки, металлическая или пластиковая тара из-под различных видов продукции и т.д.), отработанные ртутьсодержащие лампы, отработанные автомобильные покрышки, автомобильные аккумуляторы и т.д.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 накопления ТБО постоянно меняется, отражая состояние снабжения товарами и в значительной мере,  зависит от местных условий.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общее накопление ТБО влияют разнообразные факторы, основными из них являются:</w:t>
      </w:r>
    </w:p>
    <w:p w:rsidR="00065929" w:rsidRPr="00065929" w:rsidRDefault="00065929" w:rsidP="000659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благоустройства зданий;</w:t>
      </w:r>
    </w:p>
    <w:p w:rsidR="00065929" w:rsidRPr="00065929" w:rsidRDefault="00065929" w:rsidP="000659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топлива при местном отоплении;</w:t>
      </w:r>
    </w:p>
    <w:p w:rsidR="00065929" w:rsidRPr="00065929" w:rsidRDefault="00065929" w:rsidP="000659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промышленных предприятий, предприятий общественного питания и торговли;</w:t>
      </w:r>
    </w:p>
    <w:p w:rsidR="00065929" w:rsidRPr="00065929" w:rsidRDefault="00065929" w:rsidP="000659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условия.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количества ТБО следует учитывать возможность образования их во всех источниках.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накопления отходов принято подразделять на дифференцированные (индивидуальные) по месту их образования.  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нормы накопления принимаются из расчета количества спецмашин, оборудования и инвентаря для сбора и удаления отходов.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норм накопления ТБО должно производиться согласно «Рекомендациям по определению норм накопления твердых бытовых отходов», разработанных Академией коммунального хозяйства им. К.Д. Панфилова (далее – Рекомендации).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положениям Рекомендаций можно отнести:</w:t>
      </w:r>
    </w:p>
    <w:p w:rsidR="00065929" w:rsidRPr="00065929" w:rsidRDefault="00065929" w:rsidP="000659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определению или уточнению норм накопления ТБО проводится специальной комиссией, создаваемой органами местного самоуправления (нормы накопления ТБО могут изменяться в зависимости от числа жителей населенного пункта и его специфики)</w:t>
      </w:r>
    </w:p>
    <w:p w:rsidR="00065929" w:rsidRPr="00065929" w:rsidRDefault="00065929" w:rsidP="000659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показателями при определении норм накопления ТБО являются масса, объем, средняя плотность и коэффициент суточной неравномерности накопления;</w:t>
      </w:r>
    </w:p>
    <w:p w:rsidR="00065929" w:rsidRPr="00065929" w:rsidRDefault="00065929" w:rsidP="000659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накопления определяются для жилых зданий и для объектов общественного назначения;</w:t>
      </w:r>
    </w:p>
    <w:p w:rsidR="00065929" w:rsidRPr="00065929" w:rsidRDefault="00065929" w:rsidP="000659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накопления определяются: по жилым зданиям – на одного человека; по объектам культурно – бытового назначения (клубы, библиотеки) – на 1 место; по объектам торговли – на </w:t>
      </w:r>
      <w:smartTag w:uri="urn:schemas-microsoft-com:office:smarttags" w:element="metricconverter">
        <w:smartTagPr>
          <w:attr w:name="ProductID" w:val="1 кв. м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торговой площади; на фельдшерско-акушерский пункт, офис врача общей практики – на 1 посещение;</w:t>
      </w:r>
      <w:proofErr w:type="gramEnd"/>
    </w:p>
    <w:p w:rsidR="00065929" w:rsidRPr="00065929" w:rsidRDefault="00065929" w:rsidP="000659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накопления отходов целесообразно использовать стандартные контейнеры емкостью 0,75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65929" w:rsidRPr="00065929" w:rsidRDefault="00065929" w:rsidP="000659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уточнению норм накопления ТБО целесообразно проводить каждые 5 лет.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обеспеченности бумагой и другими упаковочными материалами приводит к увеличению объема ТБО и снижению плотности отходов. Следует отметить, что сокращение плотности отходов в сельской местности происходить не будет из-за использования части образующихся упаковочных материалов для личного пользования.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Климатические и местные условия оказывают влияние на нормы накопления в связи с различной продолжительностью отопительного сезона, периода подметания дворов и тротуаров, озеленения, а также потреблением населения овощей и фруктов.  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Среднегодовые нормы накопления и образования твердых бытовых отходов, приведенные в Таблице 3, приняты согласно следующим документам:</w:t>
      </w:r>
    </w:p>
    <w:p w:rsidR="00065929" w:rsidRPr="00065929" w:rsidRDefault="00065929" w:rsidP="000659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2.07.01-89* «Градостроительство. Планировка и застройки городских и сельских поселений»;</w:t>
      </w:r>
    </w:p>
    <w:p w:rsidR="00065929" w:rsidRPr="00065929" w:rsidRDefault="00065929" w:rsidP="000659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сборнику удельных показателей образования отходов производства и потребления, утвержденному заместителем председателя государственного комитета  Российской Федерации по охране окружающей среды в 1999г.;</w:t>
      </w:r>
    </w:p>
    <w:p w:rsidR="00065929" w:rsidRPr="00065929" w:rsidRDefault="00065929" w:rsidP="000659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сборнику удельных показателей «предельное количество токсичных промышленных отходов, допускаемых для складирования в накопителях», утвержденному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Минжилхозом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 30.05.8 г. № 85-191-1. </w:t>
      </w: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5929" w:rsidRPr="00065929" w:rsidRDefault="00065929" w:rsidP="00065929">
      <w:pPr>
        <w:tabs>
          <w:tab w:val="left" w:pos="1110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5929" w:rsidRPr="00065929" w:rsidRDefault="00065929" w:rsidP="00065929">
      <w:pPr>
        <w:tabs>
          <w:tab w:val="left" w:pos="1110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Таблица 3</w:t>
      </w: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134"/>
        <w:gridCol w:w="1134"/>
        <w:gridCol w:w="1134"/>
        <w:gridCol w:w="1134"/>
      </w:tblGrid>
      <w:tr w:rsidR="00065929" w:rsidRPr="00065929" w:rsidTr="00066E71">
        <w:trPr>
          <w:cantSplit/>
        </w:trPr>
        <w:tc>
          <w:tcPr>
            <w:tcW w:w="567" w:type="dxa"/>
            <w:vMerge w:val="restart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Источник образования отходов</w:t>
            </w:r>
          </w:p>
        </w:tc>
        <w:tc>
          <w:tcPr>
            <w:tcW w:w="2268" w:type="dxa"/>
            <w:gridSpan w:val="2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Среднегодовая норма образования и накопления</w:t>
            </w:r>
          </w:p>
        </w:tc>
        <w:tc>
          <w:tcPr>
            <w:tcW w:w="2268" w:type="dxa"/>
            <w:gridSpan w:val="2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Предлагаемые нормы образования и накопления</w:t>
            </w:r>
          </w:p>
        </w:tc>
      </w:tr>
      <w:tr w:rsidR="00065929" w:rsidRPr="00065929" w:rsidTr="00066E71">
        <w:trPr>
          <w:cantSplit/>
        </w:trPr>
        <w:tc>
          <w:tcPr>
            <w:tcW w:w="567" w:type="dxa"/>
            <w:vMerge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куб.м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куб.м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65929" w:rsidRPr="00065929" w:rsidTr="00066E71">
        <w:tc>
          <w:tcPr>
            <w:tcW w:w="56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норма накопления ТБО по благоустроенным жилым домам, с населением до 100 </w:t>
            </w: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 на 1 жителя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065929" w:rsidRPr="00065929" w:rsidTr="00066E71">
        <w:tc>
          <w:tcPr>
            <w:tcW w:w="56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(почтовое отделение, административно-финансовые учреждения, библиотека)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40-70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0,2-0,3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065929" w:rsidRPr="00065929" w:rsidTr="00066E71">
        <w:tc>
          <w:tcPr>
            <w:tcW w:w="56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на 1 учащегося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0,12 на 1 учащегося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на 1 учащегося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0,12 на 1 учащегося</w:t>
            </w:r>
          </w:p>
        </w:tc>
      </w:tr>
      <w:tr w:rsidR="00065929" w:rsidRPr="00065929" w:rsidTr="00066E71">
        <w:trPr>
          <w:cantSplit/>
        </w:trPr>
        <w:tc>
          <w:tcPr>
            <w:tcW w:w="56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250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06592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1 м²</w:t>
              </w:r>
            </w:smartTag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площади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0,46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6592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1 кв. м</w:t>
              </w:r>
            </w:smartTag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площади</w:t>
            </w:r>
          </w:p>
        </w:tc>
        <w:tc>
          <w:tcPr>
            <w:tcW w:w="1134" w:type="dxa"/>
            <w:vMerge w:val="restart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1134" w:type="dxa"/>
            <w:vMerge w:val="restart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0,20*</w:t>
            </w:r>
          </w:p>
        </w:tc>
      </w:tr>
      <w:tr w:rsidR="00065929" w:rsidRPr="00065929" w:rsidTr="00066E71">
        <w:trPr>
          <w:cantSplit/>
        </w:trPr>
        <w:tc>
          <w:tcPr>
            <w:tcW w:w="56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Промтоварный магазин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200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6592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1 кв. м</w:t>
              </w:r>
            </w:smartTag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площади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0,15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6592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1 кв. м</w:t>
              </w:r>
            </w:smartTag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площади</w:t>
            </w:r>
          </w:p>
        </w:tc>
        <w:tc>
          <w:tcPr>
            <w:tcW w:w="1134" w:type="dxa"/>
            <w:vMerge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929" w:rsidRPr="00065929" w:rsidTr="00066E71">
        <w:tc>
          <w:tcPr>
            <w:tcW w:w="567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Фельдшерско-акушерские пункты, офис врача общей практики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120гр на 1 посещение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 на 1 посещение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60** на 1 посещение</w:t>
            </w:r>
          </w:p>
        </w:tc>
        <w:tc>
          <w:tcPr>
            <w:tcW w:w="113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0,20** на 1 посещение</w:t>
            </w:r>
          </w:p>
        </w:tc>
      </w:tr>
    </w:tbl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сельском поселении, как правило, в одной торговой точке производится реализация продукции продовольственной и промтоварной группы товаров, с выделением картонной и полиэтиленовой упаковки, в 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возможно сокращение образования отходов от реализации продовольственной и не продовольственной группы товаров на 25%, что составит </w:t>
      </w:r>
      <w:smartTag w:uri="urn:schemas-microsoft-com:office:smarttags" w:element="metricconverter">
        <w:smartTagPr>
          <w:attr w:name="ProductID" w:val="56 кг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56 кг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торговой площади, а плотность отходов можно принять усредненной - </w:t>
      </w:r>
      <w:smartTag w:uri="urn:schemas-microsoft-com:office:smarttags" w:element="metricconverter">
        <w:smartTagPr>
          <w:attr w:name="ProductID" w:val="0,2 куб. м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0,2 куб. м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smartTag w:uri="urn:schemas-microsoft-com:office:smarttags" w:element="metricconverter">
        <w:smartTagPr>
          <w:attr w:name="ProductID" w:val="1 кв. м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торговой площади;</w:t>
      </w: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 в офисе врача общей практики производится осмотр и консультация пациентов, делаются назначения, в фельдшерско-акушерских пунктах - инъекции, перевязки и другие медицинские манипуляции, объем оказываемых услуг в сельском поселении значительно отличается от медицинских услуг, оказываемых в районных центрах и городах, в связи с чем, предлагается уменьшить норматив образования отходов на 50% (</w:t>
      </w:r>
      <w:smartTag w:uri="urn:schemas-microsoft-com:office:smarttags" w:element="metricconverter">
        <w:smartTagPr>
          <w:attr w:name="ProductID" w:val="60 кг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кг</w:t>
        </w:r>
      </w:smartTag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посещение), а плотность отходов, равной плотности отходов, 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образующихся в учреждениях (</w:t>
      </w:r>
      <w:smartTag w:uri="urn:schemas-microsoft-com:office:smarttags" w:element="metricconverter">
        <w:smartTagPr>
          <w:attr w:name="ProductID" w:val="0,2 куб. м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0,2 куб. м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1 посещение).</w:t>
      </w:r>
      <w:proofErr w:type="gramEnd"/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рекомендуемые нормы накопления приобрели законность, их требуется утвердить органами местного самоуправления, этому должны предшествовать соответствующие замеры, учет, контроль за количественным и качественным составом образующихся отходов, т.е., утвержденные нормативы должны быть обоснованными.</w:t>
      </w: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Вывоз твердых бытовых отходов осуществляется силами МУП  «Управление  коммунального  хозяйства». Периодичность вывоза  твердых бытовых отходов будет определяться согласно разрабатываемому графику не реже 1 раза в 5 -7 дней.</w:t>
      </w:r>
    </w:p>
    <w:p w:rsidR="00065929" w:rsidRPr="00065929" w:rsidRDefault="00065929" w:rsidP="000659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2.3.3. Отходы 1-2 класса опасности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могут быть образованы не только  ТБО или отходы, являющиеся ВМР, но и отходы, хранение которых требует особых условий, например, отходы 1 класса опасности (отработанные ртутьсодержащие лампы и приборы), которые следует передавать для обезвреживания. С целью недопущения загрязнения отходами 1 класса  окружающей среды администрация сельского поселения разработала  и  утвердила постановлением  администрации  от  07.12.2012 г. № 46  Порядок сбора отработанных ртутьсодержащих ламп на территории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 области.  Для этих целей определены места сбора ртутьсодержащих ламп и приборов, будет выделено специальное помещение для временного хранения в соответствии с СанПиН 2.1.7.1322-03 «Гигиенические требования к размещению и обезвреживанию отходов производства и потребления», где будет  установлен металлический герметичный контейнер.  В помещении должен быть водонепроницаемый пол,  герметичные перегородки, обособленный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вентканал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2.3.4. Биологические отходы</w:t>
      </w: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пункта сбора павших трупов животных не имеется. Биологические отходы вывозятся в пункт сбора биологических отходов, где происходит их утилизация.</w:t>
      </w: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2.3.5. Содержание и уборка придомовых обособленных территорий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очистки являются: территории домовладений, проезды, объекты культурно-бытового назначения, территории учреждений и организаций.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организаций, учреждений и объектов культурно-бытового назначения должны быть установлены урны. Очистка урн  должна осуществляться систематически по мере их накопления. За содержание урн в чистоте несут ответственность организации, учреждения, осуществляющие уборку закрепленных за ними территорий.</w:t>
      </w:r>
    </w:p>
    <w:p w:rsidR="00065929" w:rsidRPr="00065929" w:rsidRDefault="00065929" w:rsidP="00065929">
      <w:pPr>
        <w:tabs>
          <w:tab w:val="left" w:pos="536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отходов осуществляется согласно СанПиН 2.1.7.1322-03 «Гигиенические требования к размещению и обезвреживанию отходов производства и потребления».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сбор бытовых отходов производится путем их выноса из жилых домов и складирования в типовые контейнеры  (при  наличие)  или  в  мусорные  пакеты.. Такой же процесс сбора осуществляется при уборке административных зданий, школ, предприятий торговли и т.д. </w:t>
      </w:r>
      <w:proofErr w:type="gramEnd"/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для размещения контейнеров должна иметь:</w:t>
      </w:r>
    </w:p>
    <w:p w:rsidR="00065929" w:rsidRPr="00065929" w:rsidRDefault="00065929" w:rsidP="000659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удобные подъездные пути для автотранспорта;</w:t>
      </w:r>
    </w:p>
    <w:p w:rsidR="00065929" w:rsidRPr="00065929" w:rsidRDefault="00065929" w:rsidP="000659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водонепроницаемое покрытие (асфальтобетон; бетон и т.п.);</w:t>
      </w:r>
    </w:p>
    <w:p w:rsidR="00065929" w:rsidRPr="00065929" w:rsidRDefault="00065929" w:rsidP="000659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трехстороннее ограждение (забор или живая изгородь);</w:t>
      </w:r>
    </w:p>
    <w:p w:rsidR="00065929" w:rsidRPr="00065929" w:rsidRDefault="00065929" w:rsidP="000659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укрытие (крышки).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для установки контейнеров должны быть удалены от жилых домов, спортивных площадок, от мест отдыха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площадок должен быть рассчитан на установку необходимого числа контейнеров, но не более 10.</w:t>
      </w:r>
    </w:p>
    <w:p w:rsidR="00065929" w:rsidRPr="00065929" w:rsidRDefault="00065929" w:rsidP="00065929">
      <w:pPr>
        <w:tabs>
          <w:tab w:val="left" w:pos="199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 для хранения отходов (контейнеры) должны соответствовать требованиям документа «Предельное количество токсичных промышленных отходов на территории предприятия, разработанному Минздравом СССР в 1985 году.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 в летний период необходимо промывать не реже 1 раза в 10 дней.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временном хранении отходов следует исключить возможность загнивания и разложения отходов. 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отработанных ртутьсодержащих ламп и приборов могут быть образованы другие отходы потребления: отработанные аккумуляторы, масла отработанные, фильтры </w:t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жидкого топлива, промасленная ветошь и др., такие отходы не подлежат размещению на свалках и полигонах.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отходов должен осуществляться по их видам и классам опасности, смешивание их запрещается.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отходов, не подлежащие к размещению на свалке должны передаваться с целью использования или обезвреживания предприятиям-потребителям, имеющим соответствующий вид лицензии.</w:t>
      </w: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количество образующихся отходов приведено в Таблице 4.</w:t>
      </w:r>
    </w:p>
    <w:p w:rsidR="00065929" w:rsidRPr="00065929" w:rsidRDefault="00065929" w:rsidP="000659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4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703"/>
        <w:gridCol w:w="1464"/>
        <w:gridCol w:w="2160"/>
        <w:gridCol w:w="1847"/>
      </w:tblGrid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отхода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Норматив </w:t>
            </w:r>
            <w:proofErr w:type="spellStart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вания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Обоснование для образования отхода, тонн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Количество образую-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щихся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отходов, тонн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Ртутные лампы, люминесцентные ртутьсодержащие трубки отработанные и брак  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0,010*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из жилищ несортированные (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исключая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крупногабаритные)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210-225кг на 1чел/год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от бытовых помещений организаций несортированный (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исключая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крупногабаритный)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40-70кг 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1чел/год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65929" w:rsidRPr="00065929" w:rsidTr="00066E71">
        <w:trPr>
          <w:cantSplit/>
        </w:trPr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территории  и помещений объектов оптово-розничной торговли продовольственными  и  непродовольственными товарами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30 кг"/>
              </w:smartTagPr>
              <w:r w:rsidRPr="0006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230 кг</w:t>
              </w:r>
            </w:smartTag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1м²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торговой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4магазина с торговой площадью 250 </w:t>
            </w:r>
            <w:proofErr w:type="spell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территории  и помещений учебно-воспитательных учреждений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4 кг"/>
              </w:smartTagPr>
              <w:r w:rsidRPr="0006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 кг</w:t>
              </w:r>
            </w:smartTag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учащегося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учащихся 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Полиэтиленовая тара поврежденная  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0,25*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полиэтилена в виде пленки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0,25*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Стеклянный бой незагрязненный (исключая бой стекла электронно-лучевых трубок и люминесцентных ламп)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0,3*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черных металлов несортированный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1,0*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и упаковка из алюминия незагрязненная, потерявшая потребительские свойства и брак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0,1*</w:t>
            </w:r>
          </w:p>
        </w:tc>
      </w:tr>
      <w:tr w:rsidR="00065929" w:rsidRPr="00065929" w:rsidTr="00066E71">
        <w:tc>
          <w:tcPr>
            <w:tcW w:w="573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упаковочного картона незагрязненные</w:t>
            </w:r>
          </w:p>
        </w:tc>
        <w:tc>
          <w:tcPr>
            <w:tcW w:w="1464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</w:tcPr>
          <w:p w:rsidR="00065929" w:rsidRPr="00065929" w:rsidRDefault="00065929" w:rsidP="0006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0,25*</w:t>
            </w:r>
          </w:p>
        </w:tc>
      </w:tr>
    </w:tbl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прогнозируемые данные.</w:t>
      </w: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5 приведен примерный перечень отходов, образование которых возможно на территории сельского поселения.</w:t>
      </w:r>
    </w:p>
    <w:p w:rsidR="00065929" w:rsidRPr="00065929" w:rsidRDefault="00065929" w:rsidP="00065929">
      <w:pPr>
        <w:tabs>
          <w:tab w:val="left" w:pos="110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5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65929" w:rsidRPr="00065929" w:rsidSect="006425D7">
          <w:headerReference w:type="default" r:id="rId6"/>
          <w:footerReference w:type="even" r:id="rId7"/>
          <w:footerReference w:type="default" r:id="rId8"/>
          <w:pgSz w:w="11907" w:h="16840" w:code="9"/>
          <w:pgMar w:top="1079" w:right="1134" w:bottom="1078" w:left="1134" w:header="680" w:footer="714" w:gutter="0"/>
          <w:pgNumType w:start="0"/>
          <w:cols w:space="709"/>
          <w:titlePg/>
        </w:sectPr>
      </w:pPr>
    </w:p>
    <w:tbl>
      <w:tblPr>
        <w:tblpPr w:leftFromText="180" w:rightFromText="180" w:vertAnchor="text" w:horzAnchor="margin" w:tblpXSpec="center" w:tblpY="-1699"/>
        <w:tblW w:w="1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32"/>
        <w:gridCol w:w="2189"/>
        <w:gridCol w:w="1355"/>
        <w:gridCol w:w="1809"/>
        <w:gridCol w:w="2756"/>
      </w:tblGrid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отхода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ФККО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объем образования отходов, тонн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размещения отхода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Ртутные лампы, люминесцентные ртутьсодержащие трубки отработанные и брак  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3533010013011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1 раз/год 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из жилищ несортированные (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исключая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крупногабаритные) 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9110010001004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на свалку 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от бытовых помещений организаций несортированный (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исключая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крупногабаритный) 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91200401004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на свалку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территории  и помещений объектов оптово-розничной торговли продовольственными и непродовольственными  товарами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9120110001005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на свалку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территории  и помещений учебно-воспитательных учреждений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9120130001005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на свалку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Полиэтиленовая тара поврежденная  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5710290313995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0,25*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передача отходов предприятиям, имеющим соответствующий вид лицензии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полиэтилена в виде пленки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5710290201995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0,25*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передача отходов предприятиям, имеющим соответствующий вид лицензии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Стеклянный бой незагрязненный (исключая бой стекла электронно-лучевых трубок и люминесцентных ламп)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3140080201995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0,3*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передача отходов предприятиям, имеющим соответствующий вид лицензии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черных металлов несортированный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3513010001995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1,0*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передача отходов предприятиям, имеющим </w:t>
            </w: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соответствующий вид лицензии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и упаковка из алюминия незагрязненная, потерявшая потребительские свойства и брак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3531010313995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0,1*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передача отходов предприятиям, имеющим соответствующий вид лицензии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упаковочного картона незагрязненные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1871020201005</w:t>
            </w: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0,25*</w:t>
            </w: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передача отходов предприятиям, имеющим соответствующий вид лицензии</w:t>
            </w:r>
          </w:p>
        </w:tc>
      </w:tr>
      <w:tr w:rsidR="00065929" w:rsidRPr="00065929" w:rsidTr="00066E71">
        <w:tc>
          <w:tcPr>
            <w:tcW w:w="588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отходов, вывозимых на свалку</w:t>
            </w:r>
          </w:p>
        </w:tc>
        <w:tc>
          <w:tcPr>
            <w:tcW w:w="218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246,7</w:t>
            </w:r>
          </w:p>
          <w:p w:rsidR="00065929" w:rsidRPr="00065929" w:rsidRDefault="00065929" w:rsidP="0006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929" w:rsidRPr="00065929" w:rsidRDefault="00065929" w:rsidP="000659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5929" w:rsidRPr="00065929" w:rsidSect="009228A0">
          <w:pgSz w:w="16840" w:h="11907" w:orient="landscape" w:code="9"/>
          <w:pgMar w:top="1134" w:right="1134" w:bottom="1258" w:left="1134" w:header="680" w:footer="716" w:gutter="0"/>
          <w:pgNumType w:start="1"/>
          <w:cols w:space="709"/>
          <w:titlePg/>
        </w:sect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вывоза отходов следует утвердить схему очистки территории населенного пункта.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числа устанавливаемых контейнеров следует исходить из численности населения, норм накопления отходов и сроков их хранения. </w:t>
      </w:r>
    </w:p>
    <w:p w:rsidR="00065929" w:rsidRPr="00065929" w:rsidRDefault="00065929" w:rsidP="00065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количество отходов, вывозимое с территории сельского поселения  составит</w:t>
      </w:r>
      <w:proofErr w:type="gram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246,7 </w:t>
      </w: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тонн в год, исходя из численности сельского поселения (с учетом предприятий социально-культурного назначения, организаций и учреждений). Периодичность вывоза отходов зависит от количества  образующихся отходов и количества установленных контейнеров. С учетом плотности отходов вместимость контейнера составляет </w:t>
      </w:r>
      <w:smartTag w:uri="urn:schemas-microsoft-com:office:smarttags" w:element="metricconverter">
        <w:smartTagPr>
          <w:attr w:name="ProductID" w:val="150 кг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 кг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селективный сбор пищевых отходов в сельском поселении нецелесообразно, т.к. нет предприятий по раздельной переработки ТБО.</w:t>
      </w:r>
      <w:proofErr w:type="gramEnd"/>
    </w:p>
    <w:p w:rsidR="00065929" w:rsidRPr="00065929" w:rsidRDefault="00065929" w:rsidP="00065929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 и  вывоз  ТБО  в  населенных  пунктах:  д. Булгаково, д.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Ерыши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Зимец</w:t>
      </w:r>
      <w:proofErr w:type="spellEnd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будет  осуществляться  с  установленных контейнерных  площадок  с  периодичностью  1  раз  в  5  дней  силами  МУП  «Управление  коммунального  хозяйства»  на  основании  договора  с  администрацией  сельского поселения. 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этой  цели  будет  использована  1  автомашина мусоровоз,  принадлежащая  МУП  «Управление  коммунального  хозяйства» В  деревнях,  имеющих  небольшую  численность  населения,  (</w:t>
      </w:r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</w:t>
      </w:r>
      <w:proofErr w:type="spellStart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Данильево</w:t>
      </w:r>
      <w:proofErr w:type="spell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</w:t>
      </w:r>
      <w:proofErr w:type="spellStart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Дворяниново</w:t>
      </w:r>
      <w:proofErr w:type="spell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</w:t>
      </w:r>
      <w:proofErr w:type="spellStart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Пастрихово</w:t>
      </w:r>
      <w:proofErr w:type="spell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Плотки,  д. </w:t>
      </w:r>
      <w:proofErr w:type="spellStart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Преображенск</w:t>
      </w:r>
      <w:proofErr w:type="spell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д. Введенье, д. </w:t>
      </w:r>
      <w:proofErr w:type="spellStart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Загусинье</w:t>
      </w:r>
      <w:proofErr w:type="spell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д. Новая  Земля,  д. </w:t>
      </w:r>
      <w:proofErr w:type="spellStart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Шевяки</w:t>
      </w:r>
      <w:proofErr w:type="spell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</w:t>
      </w:r>
      <w:proofErr w:type="spellStart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Замаличье</w:t>
      </w:r>
      <w:proofErr w:type="spell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Закуп,  д. </w:t>
      </w:r>
      <w:proofErr w:type="spellStart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Заберезье</w:t>
      </w:r>
      <w:proofErr w:type="spell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 сбор  и  вывоз  ТБО  будет  осуществляться  МУП  «Управление  коммунального  хозяйства» </w:t>
      </w:r>
      <w:proofErr w:type="spellStart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преимущественнов</w:t>
      </w:r>
      <w:proofErr w:type="spell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выходные  дни  по  мере  необходимости</w:t>
      </w:r>
      <w:proofErr w:type="gramEnd"/>
      <w:r w:rsidRPr="00065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на  основании  заявок,  поданных  в  администрацию  сельского  поселения.  Для  этого  будет  использован  трактор  с  прицепом,  принадлежащий  МУП  «Управление  коммунального  хозяйства». 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контейнеров  и место их размещения указаны в таблице 6.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5929" w:rsidRPr="00065929" w:rsidSect="009228A0">
          <w:pgSz w:w="11907" w:h="16840" w:code="9"/>
          <w:pgMar w:top="1134" w:right="1134" w:bottom="1134" w:left="1134" w:header="680" w:footer="400" w:gutter="0"/>
          <w:pgNumType w:start="1"/>
          <w:cols w:space="709"/>
          <w:titlePg/>
        </w:sect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5"/>
        <w:gridCol w:w="2920"/>
        <w:gridCol w:w="1843"/>
        <w:gridCol w:w="3686"/>
      </w:tblGrid>
      <w:tr w:rsidR="00065929" w:rsidRPr="00065929" w:rsidTr="00066E71">
        <w:tc>
          <w:tcPr>
            <w:tcW w:w="7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292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Масса образующихся отходов за 5 дней, при норме </w:t>
            </w:r>
            <w:smartTag w:uri="urn:schemas-microsoft-com:office:smarttags" w:element="metricconverter">
              <w:smartTagPr>
                <w:attr w:name="ProductID" w:val="7,5 кг"/>
              </w:smartTagPr>
              <w:r w:rsidRPr="00065929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7,5 кг</w:t>
              </w:r>
            </w:smartTag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на человека в сутки, кг</w:t>
            </w:r>
          </w:p>
        </w:tc>
        <w:tc>
          <w:tcPr>
            <w:tcW w:w="1843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Количество контейнеров для ТБО, шт., с учетом вместимости контейнера – 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065929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150 кг</w:t>
              </w:r>
            </w:smartTag>
          </w:p>
        </w:tc>
        <w:tc>
          <w:tcPr>
            <w:tcW w:w="3686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Место размещения</w:t>
            </w:r>
          </w:p>
        </w:tc>
      </w:tr>
      <w:tr w:rsidR="00065929" w:rsidRPr="00065929" w:rsidTr="00066E71">
        <w:tc>
          <w:tcPr>
            <w:tcW w:w="7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2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43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 площадках  в д. Булгаково,  ул. Центральная, ул. Молодежная, ул. Мира, </w:t>
            </w:r>
            <w:proofErr w:type="gramEnd"/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Школьная</w:t>
            </w:r>
          </w:p>
        </w:tc>
      </w:tr>
      <w:tr w:rsidR="00065929" w:rsidRPr="00065929" w:rsidTr="00066E71">
        <w:tc>
          <w:tcPr>
            <w:tcW w:w="7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92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43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 площадках  в д. </w:t>
            </w:r>
            <w:proofErr w:type="spellStart"/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Ерыши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Центральная, ул. Смоленская,  ул. Брянская, ул. Мира</w:t>
            </w:r>
          </w:p>
        </w:tc>
      </w:tr>
      <w:tr w:rsidR="00065929" w:rsidRPr="00065929" w:rsidTr="00066E71">
        <w:tc>
          <w:tcPr>
            <w:tcW w:w="7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92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43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 площадке  в д. </w:t>
            </w:r>
            <w:proofErr w:type="spellStart"/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Зимец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Центральная,  </w:t>
            </w:r>
          </w:p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Духовщинская</w:t>
            </w:r>
            <w:proofErr w:type="spellEnd"/>
            <w:r w:rsidRPr="00065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Дорожная, ул. Кольцевая </w:t>
            </w:r>
          </w:p>
        </w:tc>
      </w:tr>
      <w:tr w:rsidR="00065929" w:rsidRPr="00065929" w:rsidTr="00066E71">
        <w:tc>
          <w:tcPr>
            <w:tcW w:w="7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</w:tcPr>
          <w:p w:rsidR="00065929" w:rsidRPr="00065929" w:rsidRDefault="00065929" w:rsidP="00065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43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площадке возле школы в д. Булгаково</w:t>
            </w:r>
          </w:p>
        </w:tc>
      </w:tr>
      <w:tr w:rsidR="00065929" w:rsidRPr="00065929" w:rsidTr="00066E71">
        <w:trPr>
          <w:trHeight w:val="350"/>
        </w:trPr>
        <w:tc>
          <w:tcPr>
            <w:tcW w:w="709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</w:tcPr>
          <w:p w:rsidR="00065929" w:rsidRPr="00065929" w:rsidRDefault="00065929" w:rsidP="00065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92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3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площадках возле магазинов</w:t>
            </w:r>
          </w:p>
        </w:tc>
      </w:tr>
      <w:tr w:rsidR="00065929" w:rsidRPr="00065929" w:rsidTr="00066E71">
        <w:tc>
          <w:tcPr>
            <w:tcW w:w="709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065929" w:rsidRPr="00065929" w:rsidRDefault="00065929" w:rsidP="00065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20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5929" w:rsidRPr="00065929" w:rsidRDefault="00065929" w:rsidP="0006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</w:tcPr>
          <w:p w:rsidR="00065929" w:rsidRPr="00065929" w:rsidRDefault="00065929" w:rsidP="0006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периодичности вывоза 1 раз в 5 дней не будет наблюдаться переполнение контейнеров, а для транспортировки отходов (ТБО) потребуется 1 машина, принадлежащая МУП  «Управление  коммунального  хозяйства».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5929" w:rsidRPr="00065929" w:rsidSect="009228A0">
          <w:pgSz w:w="16840" w:h="11907" w:orient="landscape" w:code="9"/>
          <w:pgMar w:top="1134" w:right="1134" w:bottom="851" w:left="1134" w:header="680" w:footer="0" w:gutter="0"/>
          <w:pgNumType w:start="1"/>
          <w:cols w:space="709"/>
          <w:titlePg/>
        </w:sect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Транспортно-производственная база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 администрации сельского поселения отсутствует парк специализированной техники для уборки поселения, а также для сбора и транспортировки ТБО. </w:t>
      </w:r>
    </w:p>
    <w:p w:rsidR="00065929" w:rsidRPr="00065929" w:rsidRDefault="00065929" w:rsidP="00065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транспортировка отходов должна осуществляться на основании договора    с  МУП  «Управление  коммунального  хозяйства»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Финансирование мероприятий по санитарной очистке</w:t>
      </w:r>
    </w:p>
    <w:p w:rsidR="00065929" w:rsidRPr="00065929" w:rsidRDefault="00065929" w:rsidP="0006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Ежегодно в бюджете сельского поселения предусмотрено финансирование средств на благоустройство и санитарную очистку территории поселения. </w:t>
      </w: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</w:t>
      </w:r>
      <w:smartTag w:uri="urn:schemas-microsoft-com:office:smarttags" w:element="metricconverter">
        <w:smartTagPr>
          <w:attr w:name="ProductID" w:val="2014 г"/>
        </w:smartTagPr>
        <w:r w:rsidRPr="000659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бюджете поселения  на благоустройство выделено 14,0 тыс. руб</w:t>
      </w:r>
      <w:proofErr w:type="gramStart"/>
      <w:r w:rsidRPr="0006592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29" w:rsidRPr="00065929" w:rsidRDefault="00065929" w:rsidP="0006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E9" w:rsidRDefault="003C2BE9"/>
    <w:sectPr w:rsidR="003C2BE9" w:rsidSect="009228A0">
      <w:pgSz w:w="11906" w:h="16838" w:code="9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37" w:rsidRDefault="00065929" w:rsidP="00460D5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>PAG</w:instrText>
    </w:r>
    <w:r>
      <w:rPr>
        <w:rStyle w:val="af0"/>
      </w:rPr>
      <w:instrText xml:space="preserve">E  </w:instrText>
    </w:r>
    <w:r>
      <w:rPr>
        <w:rStyle w:val="af0"/>
      </w:rPr>
      <w:fldChar w:fldCharType="end"/>
    </w:r>
  </w:p>
  <w:p w:rsidR="00576737" w:rsidRDefault="00065929" w:rsidP="00460D5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37" w:rsidRDefault="00065929">
    <w:pPr>
      <w:pStyle w:val="ae"/>
      <w:ind w:right="360"/>
    </w:pPr>
    <w:r>
      <w:t xml:space="preserve">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37" w:rsidRDefault="00065929">
    <w:pPr>
      <w:pStyle w:val="ac"/>
      <w:framePr w:wrap="auto" w:vAnchor="text" w:hAnchor="margin" w:xAlign="center" w:y="1"/>
      <w:rPr>
        <w:rStyle w:val="af0"/>
      </w:rPr>
    </w:pPr>
  </w:p>
  <w:p w:rsidR="00576737" w:rsidRDefault="00065929">
    <w:pPr>
      <w:pStyle w:val="ac"/>
      <w:framePr w:wrap="auto" w:vAnchor="text" w:hAnchor="page" w:x="1702" w:y="-107"/>
      <w:rPr>
        <w:rStyle w:val="af0"/>
      </w:rPr>
    </w:pPr>
  </w:p>
  <w:p w:rsidR="00576737" w:rsidRDefault="00065929">
    <w:pPr>
      <w:pStyle w:val="ac"/>
      <w:framePr w:wrap="auto" w:vAnchor="text" w:hAnchor="margin" w:xAlign="right" w:y="1"/>
      <w:ind w:right="360"/>
      <w:rPr>
        <w:rStyle w:val="af0"/>
      </w:rPr>
    </w:pPr>
  </w:p>
  <w:p w:rsidR="00576737" w:rsidRDefault="0006592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C25"/>
    <w:multiLevelType w:val="hybridMultilevel"/>
    <w:tmpl w:val="21E242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EE7B19"/>
    <w:multiLevelType w:val="multilevel"/>
    <w:tmpl w:val="91F4A3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371D18"/>
    <w:multiLevelType w:val="hybridMultilevel"/>
    <w:tmpl w:val="94C001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772D60"/>
    <w:multiLevelType w:val="multilevel"/>
    <w:tmpl w:val="4686E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F602C8D"/>
    <w:multiLevelType w:val="hybridMultilevel"/>
    <w:tmpl w:val="BD96C4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58066B8"/>
    <w:multiLevelType w:val="multilevel"/>
    <w:tmpl w:val="FC2A9998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59E23A8"/>
    <w:multiLevelType w:val="hybridMultilevel"/>
    <w:tmpl w:val="7F9E55E4"/>
    <w:lvl w:ilvl="0" w:tplc="0576D128">
      <w:start w:val="1"/>
      <w:numFmt w:val="decimal"/>
      <w:lvlText w:val="%1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>
    <w:nsid w:val="75657318"/>
    <w:multiLevelType w:val="hybridMultilevel"/>
    <w:tmpl w:val="7500D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2E7FBE"/>
    <w:multiLevelType w:val="multilevel"/>
    <w:tmpl w:val="4686E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BDC7C6B"/>
    <w:multiLevelType w:val="hybridMultilevel"/>
    <w:tmpl w:val="CDA82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FD"/>
    <w:rsid w:val="00065929"/>
    <w:rsid w:val="003C2BE9"/>
    <w:rsid w:val="005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59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9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6592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59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65929"/>
  </w:style>
  <w:style w:type="character" w:styleId="a3">
    <w:name w:val="Hyperlink"/>
    <w:basedOn w:val="a0"/>
    <w:rsid w:val="00065929"/>
    <w:rPr>
      <w:color w:val="0000FF"/>
      <w:u w:val="single"/>
    </w:rPr>
  </w:style>
  <w:style w:type="table" w:styleId="a4">
    <w:name w:val="Table Grid"/>
    <w:basedOn w:val="a1"/>
    <w:rsid w:val="0006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659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65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659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65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65929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065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06592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065929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9">
    <w:name w:val="Знак"/>
    <w:basedOn w:val="a"/>
    <w:next w:val="a"/>
    <w:semiHidden/>
    <w:rsid w:val="0006592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Balloon Text"/>
    <w:basedOn w:val="a"/>
    <w:link w:val="ab"/>
    <w:semiHidden/>
    <w:rsid w:val="000659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065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5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6592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65929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6592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65929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age number"/>
    <w:basedOn w:val="a0"/>
    <w:rsid w:val="00065929"/>
  </w:style>
  <w:style w:type="paragraph" w:styleId="12">
    <w:name w:val="toc 1"/>
    <w:basedOn w:val="a"/>
    <w:next w:val="a"/>
    <w:autoRedefine/>
    <w:semiHidden/>
    <w:rsid w:val="00065929"/>
    <w:pPr>
      <w:tabs>
        <w:tab w:val="righ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customStyle="1" w:styleId="ConsNormal">
    <w:name w:val="ConsNormal"/>
    <w:rsid w:val="000659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6592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59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9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6592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59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65929"/>
  </w:style>
  <w:style w:type="character" w:styleId="a3">
    <w:name w:val="Hyperlink"/>
    <w:basedOn w:val="a0"/>
    <w:rsid w:val="00065929"/>
    <w:rPr>
      <w:color w:val="0000FF"/>
      <w:u w:val="single"/>
    </w:rPr>
  </w:style>
  <w:style w:type="table" w:styleId="a4">
    <w:name w:val="Table Grid"/>
    <w:basedOn w:val="a1"/>
    <w:rsid w:val="0006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659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65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659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65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65929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065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06592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065929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9">
    <w:name w:val="Знак"/>
    <w:basedOn w:val="a"/>
    <w:next w:val="a"/>
    <w:semiHidden/>
    <w:rsid w:val="0006592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Balloon Text"/>
    <w:basedOn w:val="a"/>
    <w:link w:val="ab"/>
    <w:semiHidden/>
    <w:rsid w:val="000659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065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5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6592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65929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6592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65929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age number"/>
    <w:basedOn w:val="a0"/>
    <w:rsid w:val="00065929"/>
  </w:style>
  <w:style w:type="paragraph" w:styleId="12">
    <w:name w:val="toc 1"/>
    <w:basedOn w:val="a"/>
    <w:next w:val="a"/>
    <w:autoRedefine/>
    <w:semiHidden/>
    <w:rsid w:val="00065929"/>
    <w:pPr>
      <w:tabs>
        <w:tab w:val="righ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customStyle="1" w:styleId="ConsNormal">
    <w:name w:val="ConsNormal"/>
    <w:rsid w:val="000659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6592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4313</Words>
  <Characters>24587</Characters>
  <Application>Microsoft Office Word</Application>
  <DocSecurity>0</DocSecurity>
  <Lines>204</Lines>
  <Paragraphs>57</Paragraphs>
  <ScaleCrop>false</ScaleCrop>
  <Company/>
  <LinksUpToDate>false</LinksUpToDate>
  <CharactersWithSpaces>28843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НВ</dc:creator>
  <cp:keywords/>
  <dc:description/>
  <cp:lastModifiedBy>Котова НВ</cp:lastModifiedBy>
  <cp:revision>2</cp:revision>
  <dcterms:created xsi:type="dcterms:W3CDTF">2014-01-21T10:57:00Z</dcterms:created>
  <dcterms:modified xsi:type="dcterms:W3CDTF">2014-01-21T11:00:00Z</dcterms:modified>
</cp:coreProperties>
</file>