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477A4E" w:rsidTr="004C1CE9">
        <w:tc>
          <w:tcPr>
            <w:tcW w:w="5211" w:type="dxa"/>
          </w:tcPr>
          <w:p w:rsidR="00477A4E" w:rsidRDefault="00477A4E" w:rsidP="00C6630F">
            <w:pPr>
              <w:widowControl w:val="0"/>
              <w:autoSpaceDE w:val="0"/>
              <w:autoSpaceDN w:val="0"/>
              <w:jc w:val="right"/>
              <w:outlineLvl w:val="0"/>
            </w:pPr>
            <w:bookmarkStart w:id="0" w:name="_GoBack"/>
            <w:bookmarkEnd w:id="0"/>
          </w:p>
        </w:tc>
        <w:tc>
          <w:tcPr>
            <w:tcW w:w="4820" w:type="dxa"/>
          </w:tcPr>
          <w:p w:rsidR="00477A4E" w:rsidRPr="004C1CE9" w:rsidRDefault="00477A4E" w:rsidP="00477A4E">
            <w:pPr>
              <w:widowControl w:val="0"/>
              <w:autoSpaceDE w:val="0"/>
              <w:autoSpaceDN w:val="0"/>
              <w:jc w:val="center"/>
              <w:outlineLvl w:val="0"/>
              <w:rPr>
                <w:rFonts w:eastAsia="Times New Roman"/>
                <w:lang w:eastAsia="ru-RU"/>
              </w:rPr>
            </w:pPr>
            <w:r w:rsidRPr="004C1CE9">
              <w:rPr>
                <w:rFonts w:eastAsia="Times New Roman"/>
                <w:lang w:eastAsia="ru-RU"/>
              </w:rPr>
              <w:t>Утверждены</w:t>
            </w:r>
          </w:p>
          <w:p w:rsidR="00477A4E" w:rsidRPr="00DF1865" w:rsidRDefault="00477A4E" w:rsidP="000C11CE">
            <w:pPr>
              <w:widowControl w:val="0"/>
              <w:autoSpaceDE w:val="0"/>
              <w:autoSpaceDN w:val="0"/>
              <w:jc w:val="both"/>
              <w:rPr>
                <w:rFonts w:eastAsia="Times New Roman"/>
                <w:sz w:val="20"/>
                <w:szCs w:val="20"/>
                <w:lang w:eastAsia="ru-RU"/>
              </w:rPr>
            </w:pPr>
            <w:r w:rsidRPr="004C1CE9">
              <w:rPr>
                <w:rFonts w:eastAsia="Times New Roman"/>
                <w:lang w:eastAsia="ru-RU"/>
              </w:rPr>
              <w:t xml:space="preserve">постановлением Администрации Булгаковского сельского поселения Духовщинского района Смоленской области от </w:t>
            </w:r>
            <w:r w:rsidR="004C1CE9" w:rsidRPr="004C1CE9">
              <w:rPr>
                <w:rFonts w:eastAsia="Times New Roman"/>
                <w:lang w:eastAsia="ru-RU"/>
              </w:rPr>
              <w:t>2</w:t>
            </w:r>
            <w:r w:rsidRPr="004C1CE9">
              <w:rPr>
                <w:rFonts w:eastAsia="Times New Roman"/>
                <w:lang w:eastAsia="ru-RU"/>
              </w:rPr>
              <w:t xml:space="preserve">0.01.2023 № </w:t>
            </w:r>
            <w:r w:rsidR="000C11CE">
              <w:rPr>
                <w:rFonts w:eastAsia="Times New Roman"/>
                <w:lang w:eastAsia="ru-RU"/>
              </w:rPr>
              <w:t>4</w:t>
            </w:r>
          </w:p>
        </w:tc>
      </w:tr>
    </w:tbl>
    <w:p w:rsidR="00E53662" w:rsidRDefault="00E53662" w:rsidP="00C6630F">
      <w:pPr>
        <w:widowControl w:val="0"/>
        <w:autoSpaceDE w:val="0"/>
        <w:autoSpaceDN w:val="0"/>
        <w:spacing w:after="0" w:line="240" w:lineRule="auto"/>
        <w:jc w:val="right"/>
        <w:outlineLvl w:val="0"/>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1" w:name="P37"/>
      <w:bookmarkEnd w:id="1"/>
      <w:r w:rsidRPr="00AC794B">
        <w:rPr>
          <w:rFonts w:ascii="Times New Roman" w:hAnsi="Times New Roman" w:cs="Times New Roman"/>
          <w:sz w:val="28"/>
          <w:szCs w:val="28"/>
        </w:rPr>
        <w:t>ПРАВИЛА</w:t>
      </w:r>
    </w:p>
    <w:p w:rsidR="00C6630F" w:rsidRPr="002C5A6C" w:rsidRDefault="00C6630F" w:rsidP="00477A4E">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477A4E">
        <w:rPr>
          <w:b/>
        </w:rPr>
        <w:t>муниципального образования Булгаковского сельского поселения Духовщинского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477A4E">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477A4E" w:rsidRPr="00477A4E">
        <w:rPr>
          <w:rFonts w:ascii="Times New Roman" w:hAnsi="Times New Roman" w:cs="Times New Roman"/>
          <w:sz w:val="28"/>
          <w:szCs w:val="28"/>
        </w:rPr>
        <w:t>муниципального образования Булгаковского сельского поселения Духовщинского района Смоленской области</w:t>
      </w:r>
      <w:r w:rsidR="00E2747C" w:rsidRPr="00477A4E">
        <w:rPr>
          <w:rFonts w:ascii="Times New Roman" w:hAnsi="Times New Roman" w:cs="Times New Roman"/>
          <w:sz w:val="28"/>
          <w:szCs w:val="28"/>
        </w:rPr>
        <w:t>,</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477A4E">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DF186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477A4E">
        <w:rPr>
          <w:rFonts w:ascii="Times New Roman" w:hAnsi="Times New Roman" w:cs="Times New Roman"/>
          <w:sz w:val="28"/>
          <w:szCs w:val="28"/>
        </w:rPr>
        <w:t xml:space="preserve">муниципального образования Булгаковского сельского поселения Духовщинского района Смоленской области </w:t>
      </w:r>
      <w:r w:rsidR="00E2747C" w:rsidRPr="00AC794B">
        <w:rPr>
          <w:rFonts w:ascii="Times New Roman" w:hAnsi="Times New Roman" w:cs="Times New Roman"/>
          <w:sz w:val="28"/>
          <w:szCs w:val="28"/>
        </w:rPr>
        <w:t>в соответствии с настоящими Правилами</w:t>
      </w:r>
      <w:r w:rsidR="00477A4E">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477A4E">
        <w:rPr>
          <w:rFonts w:ascii="Times New Roman" w:hAnsi="Times New Roman" w:cs="Times New Roman"/>
          <w:sz w:val="28"/>
          <w:szCs w:val="28"/>
        </w:rPr>
        <w:t xml:space="preserve">муниципальным образованием «Духовщинский район» Смоленской области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477A4E">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DF1865">
        <w:rPr>
          <w:rFonts w:ascii="Times New Roman" w:hAnsi="Times New Roman" w:cs="Times New Roman"/>
          <w:sz w:val="28"/>
          <w:szCs w:val="28"/>
        </w:rPr>
        <w:t>муниципального образования Булгаковского сельского поселения Духовщинского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DF1865">
        <w:rPr>
          <w:rFonts w:ascii="Times New Roman" w:hAnsi="Times New Roman" w:cs="Times New Roman"/>
          <w:sz w:val="28"/>
          <w:szCs w:val="28"/>
        </w:rPr>
        <w:t xml:space="preserve">муниципального образования Булгаковского сельского поселения Духовщинского района Смоленской области </w:t>
      </w:r>
      <w:r w:rsidRPr="00AC794B">
        <w:rPr>
          <w:rFonts w:ascii="Times New Roman" w:hAnsi="Times New Roman" w:cs="Times New Roman"/>
          <w:sz w:val="28"/>
          <w:szCs w:val="28"/>
        </w:rPr>
        <w:t>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(КС x С</w:t>
      </w:r>
      <w:r w:rsidRPr="00AC794B">
        <w:rPr>
          <w:rFonts w:ascii="Times New Roman" w:hAnsi="Times New Roman" w:cs="Times New Roman"/>
          <w:sz w:val="28"/>
          <w:szCs w:val="28"/>
          <w:vertAlign w:val="subscript"/>
        </w:rPr>
        <w:t>т</w:t>
      </w:r>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DF1865">
        <w:rPr>
          <w:rFonts w:ascii="Times New Roman" w:hAnsi="Times New Roman" w:cs="Times New Roman"/>
          <w:sz w:val="28"/>
          <w:szCs w:val="28"/>
        </w:rPr>
        <w:t>муниципального образования Булгаковского сельского поселения Духовщинского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DF186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DF1865">
        <w:rPr>
          <w:rFonts w:ascii="Times New Roman" w:hAnsi="Times New Roman" w:cs="Times New Roman"/>
          <w:sz w:val="28"/>
          <w:szCs w:val="28"/>
        </w:rPr>
        <w:t>муниципального образования Булгаковского сельского поселения Духовщинского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DF1865">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(СУ</w:t>
      </w:r>
      <w:r w:rsidRPr="00AC794B">
        <w:rPr>
          <w:rFonts w:ascii="Times New Roman" w:hAnsi="Times New Roman" w:cs="Times New Roman"/>
          <w:sz w:val="28"/>
          <w:szCs w:val="28"/>
          <w:vertAlign w:val="subscript"/>
        </w:rPr>
        <w:t>кс</w:t>
      </w:r>
      <w:r w:rsidRPr="00AC794B">
        <w:rPr>
          <w:rFonts w:ascii="Times New Roman" w:hAnsi="Times New Roman" w:cs="Times New Roman"/>
          <w:sz w:val="28"/>
          <w:szCs w:val="28"/>
        </w:rPr>
        <w:t xml:space="preserve"> x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w:t>
      </w:r>
      <w:r w:rsidR="00C571E2" w:rsidRPr="00C571E2">
        <w:rPr>
          <w:rFonts w:ascii="Times New Roman" w:hAnsi="Times New Roman" w:cs="Times New Roman"/>
          <w:color w:val="000000" w:themeColor="text1"/>
          <w:sz w:val="24"/>
          <w:szCs w:val="24"/>
        </w:rPr>
        <w:t>кс</w:t>
      </w:r>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S</w:t>
      </w:r>
      <w:r w:rsidR="00C571E2" w:rsidRPr="00C571E2">
        <w:rPr>
          <w:rFonts w:ascii="Times New Roman" w:hAnsi="Times New Roman" w:cs="Times New Roman"/>
          <w:color w:val="000000" w:themeColor="text1"/>
          <w:sz w:val="24"/>
          <w:szCs w:val="24"/>
        </w:rPr>
        <w:t>общ</w:t>
      </w:r>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В случае если используется часть земельного участка, коэффициент </w:t>
      </w:r>
      <w:r w:rsidRPr="00AC794B">
        <w:rPr>
          <w:rFonts w:ascii="Times New Roman" w:hAnsi="Times New Roman" w:cs="Times New Roman"/>
          <w:sz w:val="28"/>
          <w:szCs w:val="28"/>
        </w:rPr>
        <w:lastRenderedPageBreak/>
        <w:t>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DF1865" w:rsidRDefault="00DF1865" w:rsidP="00C6630F">
      <w:pPr>
        <w:pStyle w:val="ConsPlusNormal"/>
        <w:jc w:val="both"/>
        <w:rPr>
          <w:rFonts w:ascii="Times New Roman" w:hAnsi="Times New Roman" w:cs="Times New Roman"/>
          <w:sz w:val="28"/>
          <w:szCs w:val="28"/>
        </w:rPr>
      </w:pPr>
    </w:p>
    <w:p w:rsidR="00DF1865" w:rsidRDefault="00DF1865" w:rsidP="00C6630F">
      <w:pPr>
        <w:pStyle w:val="ConsPlusNormal"/>
        <w:jc w:val="both"/>
        <w:rPr>
          <w:rFonts w:ascii="Times New Roman" w:hAnsi="Times New Roman" w:cs="Times New Roman"/>
          <w:sz w:val="28"/>
          <w:szCs w:val="28"/>
        </w:rPr>
      </w:pPr>
    </w:p>
    <w:p w:rsidR="00C6630F" w:rsidRPr="005B4EA8" w:rsidRDefault="00C6630F" w:rsidP="00DF1865">
      <w:pPr>
        <w:pStyle w:val="ConsPlusNormal"/>
        <w:ind w:left="5670"/>
        <w:jc w:val="center"/>
        <w:outlineLvl w:val="1"/>
        <w:rPr>
          <w:rFonts w:ascii="Times New Roman" w:hAnsi="Times New Roman" w:cs="Times New Roman"/>
          <w:szCs w:val="20"/>
        </w:rPr>
      </w:pPr>
      <w:r w:rsidRPr="005B4EA8">
        <w:rPr>
          <w:rFonts w:ascii="Times New Roman" w:hAnsi="Times New Roman" w:cs="Times New Roman"/>
          <w:szCs w:val="20"/>
        </w:rPr>
        <w:t>Приложение</w:t>
      </w:r>
    </w:p>
    <w:p w:rsidR="00C6630F" w:rsidRPr="005B4EA8" w:rsidRDefault="00C6630F" w:rsidP="00DF1865">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w:t>
      </w:r>
      <w:r w:rsidR="005E6799" w:rsidRPr="005B4EA8">
        <w:rPr>
          <w:rFonts w:ascii="Times New Roman" w:hAnsi="Times New Roman" w:cs="Times New Roman"/>
          <w:szCs w:val="20"/>
        </w:rPr>
        <w:lastRenderedPageBreak/>
        <w:t xml:space="preserve">использование земельных участков, находящихся в муниципальной собственности </w:t>
      </w:r>
      <w:r w:rsidR="00DF1865" w:rsidRPr="00DF1865">
        <w:rPr>
          <w:rFonts w:ascii="Times New Roman" w:hAnsi="Times New Roman" w:cs="Times New Roman"/>
          <w:szCs w:val="20"/>
        </w:rPr>
        <w:t>муниципального образования Булгаковского сельского поселения Духовщинского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DF1865">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r w:rsidR="00DF1865">
        <w:rPr>
          <w:rFonts w:ascii="Times New Roman" w:hAnsi="Times New Roman" w:cs="Times New Roman"/>
          <w:sz w:val="28"/>
          <w:szCs w:val="28"/>
        </w:rPr>
        <w:t xml:space="preserve"> </w:t>
      </w: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A95E6E">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w:t>
      </w:r>
      <w:r w:rsidRPr="00AC794B">
        <w:rPr>
          <w:rFonts w:ascii="Times New Roman" w:hAnsi="Times New Roman" w:cs="Times New Roman"/>
          <w:sz w:val="28"/>
          <w:szCs w:val="28"/>
        </w:rPr>
        <w:lastRenderedPageBreak/>
        <w:t>населения, в том числе на пляжных территориях в прибрежных защитных полосах водных объектов (теневых навесов,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53662">
      <w:headerReference w:type="default" r:id="rId7"/>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37" w:rsidRDefault="005B1137" w:rsidP="00F34052">
      <w:pPr>
        <w:spacing w:after="0" w:line="240" w:lineRule="auto"/>
      </w:pPr>
      <w:r>
        <w:separator/>
      </w:r>
    </w:p>
  </w:endnote>
  <w:endnote w:type="continuationSeparator" w:id="0">
    <w:p w:rsidR="005B1137" w:rsidRDefault="005B1137"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37" w:rsidRDefault="005B1137" w:rsidP="00F34052">
      <w:pPr>
        <w:spacing w:after="0" w:line="240" w:lineRule="auto"/>
      </w:pPr>
      <w:r>
        <w:separator/>
      </w:r>
    </w:p>
  </w:footnote>
  <w:footnote w:type="continuationSeparator" w:id="0">
    <w:p w:rsidR="005B1137" w:rsidRDefault="005B1137"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9744"/>
      <w:docPartObj>
        <w:docPartGallery w:val="Page Numbers (Top of Page)"/>
        <w:docPartUnique/>
      </w:docPartObj>
    </w:sdtPr>
    <w:sdtEndPr/>
    <w:sdtContent>
      <w:p w:rsidR="00E53662" w:rsidRDefault="00E53662">
        <w:pPr>
          <w:pStyle w:val="a6"/>
          <w:jc w:val="center"/>
        </w:pPr>
        <w:r>
          <w:fldChar w:fldCharType="begin"/>
        </w:r>
        <w:r>
          <w:instrText>PAGE   \* MERGEFORMAT</w:instrText>
        </w:r>
        <w:r>
          <w:fldChar w:fldCharType="separate"/>
        </w:r>
        <w:r w:rsidR="00B955F3">
          <w:rPr>
            <w:noProof/>
          </w:rPr>
          <w:t>4</w:t>
        </w:r>
        <w:r>
          <w:fldChar w:fldCharType="end"/>
        </w:r>
      </w:p>
    </w:sdtContent>
  </w:sdt>
  <w:p w:rsidR="00E53662" w:rsidRDefault="00E53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E9A"/>
    <w:rsid w:val="000C11CE"/>
    <w:rsid w:val="0014790D"/>
    <w:rsid w:val="00180FD8"/>
    <w:rsid w:val="001F792B"/>
    <w:rsid w:val="00227755"/>
    <w:rsid w:val="002C5A6C"/>
    <w:rsid w:val="003B63AC"/>
    <w:rsid w:val="00477A4E"/>
    <w:rsid w:val="004C1CE9"/>
    <w:rsid w:val="004F5E73"/>
    <w:rsid w:val="005B1137"/>
    <w:rsid w:val="005B4EA8"/>
    <w:rsid w:val="005E6799"/>
    <w:rsid w:val="0062440A"/>
    <w:rsid w:val="00637654"/>
    <w:rsid w:val="00655A87"/>
    <w:rsid w:val="006D573E"/>
    <w:rsid w:val="006E1A7F"/>
    <w:rsid w:val="007351B9"/>
    <w:rsid w:val="00743E9A"/>
    <w:rsid w:val="00826B23"/>
    <w:rsid w:val="00884A2F"/>
    <w:rsid w:val="008C6E75"/>
    <w:rsid w:val="008E76ED"/>
    <w:rsid w:val="009D5103"/>
    <w:rsid w:val="00A95E6E"/>
    <w:rsid w:val="00AA4F9B"/>
    <w:rsid w:val="00AE0AFD"/>
    <w:rsid w:val="00B25F5E"/>
    <w:rsid w:val="00B45A4B"/>
    <w:rsid w:val="00B82C6F"/>
    <w:rsid w:val="00B955F3"/>
    <w:rsid w:val="00BA55B8"/>
    <w:rsid w:val="00C571E2"/>
    <w:rsid w:val="00C6630F"/>
    <w:rsid w:val="00C67E0C"/>
    <w:rsid w:val="00CA70FC"/>
    <w:rsid w:val="00D06E7E"/>
    <w:rsid w:val="00D11650"/>
    <w:rsid w:val="00DF1865"/>
    <w:rsid w:val="00E023B3"/>
    <w:rsid w:val="00E2747C"/>
    <w:rsid w:val="00E27578"/>
    <w:rsid w:val="00E53662"/>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5C7B0-C8EB-4B4F-AA94-9D0776D3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table" w:styleId="aa">
    <w:name w:val="Table Grid"/>
    <w:basedOn w:val="a1"/>
    <w:uiPriority w:val="59"/>
    <w:rsid w:val="006E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7E01-0091-4FCD-98F0-9DFAD1A2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2</cp:revision>
  <dcterms:created xsi:type="dcterms:W3CDTF">2023-01-20T08:46:00Z</dcterms:created>
  <dcterms:modified xsi:type="dcterms:W3CDTF">2023-01-20T08:46:00Z</dcterms:modified>
</cp:coreProperties>
</file>